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SOC 2 Report Review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Vendor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[Vendor name]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Service used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[Service used]</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Reviewed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[Reviewer]</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Review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[Review date]</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checklist</w:t>
      </w:r>
    </w:p>
    <w:p>
      <w:pPr>
        <w:spacing w:after="120" w:before="0" w:line="276"/>
      </w:pPr>
      <w:r>
        <w:rPr>
          <w:rFonts w:ascii="Arial" w:cs="Arial" w:eastAsia="Arial" w:hAnsi="Arial"/>
          <w:color w:val="1F2328"/>
          <w:sz w:val="20"/>
          <w:szCs w:val="20"/>
        </w:rPr>
        <w:t xml:space="preserve">Use this checklist when a vendor sends [Company name] its SOC 2 report. Work through one copy per vendor per report, write the result of each check, log every exception with your judgement on it, and sign the conclusion. Then record the outcome in the vendor register.</w:t>
      </w:r>
    </w:p>
    <w:p>
      <w:pPr>
        <w:spacing w:after="120" w:before="0" w:line="276"/>
      </w:pPr>
      <w:r>
        <w:rPr>
          <w:rFonts w:ascii="Arial" w:cs="Arial" w:eastAsia="Arial" w:hAnsi="Arial"/>
          <w:color w:val="1F2328"/>
          <w:sz w:val="20"/>
          <w:szCs w:val="20"/>
        </w:rPr>
        <w:t xml:space="preserve">A SOC 2 report is an attestation report issued by an independent licensed CPA firm. It speaks for the period or date it covers and for the system it describes, and nothing else. The checks below are about whether the report covers what you rely on the vendor for, and what it leaves for you to do.</w:t>
      </w:r>
    </w:p>
    <w:p>
      <w:pPr>
        <w:spacing w:after="120" w:before="0" w:line="276"/>
      </w:pPr>
      <w:r>
        <w:rPr>
          <w:rFonts w:ascii="Arial" w:cs="Arial" w:eastAsia="Arial" w:hAnsi="Arial"/>
          <w:color w:val="1F2328"/>
          <w:sz w:val="20"/>
          <w:szCs w:val="20"/>
        </w:rPr>
        <w:t xml:space="preserve">Result for each check: Met, Not met, Follow up or Not applicable. A Not met or a Follow up carries a note saying what you did about it.</w:t>
      </w:r>
    </w:p>
    <w:p>
      <w:pPr>
        <w:pBdr>
          <w:left w:val="single" w:color="8C959F" w:sz="12" w:space="8"/>
        </w:pBdr>
        <w:spacing w:after="160" w:before="60" w:line="276"/>
        <w:ind w:left="200"/>
      </w:pPr>
      <w:r>
        <w:rPr>
          <w:rFonts w:ascii="Arial" w:cs="Arial" w:eastAsia="Arial" w:hAnsi="Arial"/>
          <w:color w:val="1F2328"/>
          <w:sz w:val="19"/>
          <w:szCs w:val="19"/>
        </w:rPr>
        <w:t xml:space="preserve">Reviewing vendor reports this way is one accepted way of assessing vendor risk under CC9.2. A security questionnaire, a contract clause or a call with the vendor can stand beside it or in place of it, as your vendor management policy sets.</w:t>
      </w:r>
    </w:p>
    <w:p>
      <w:pPr>
        <w:pStyle w:val="Heading2"/>
        <w:keepNext/>
        <w:spacing w:after="120" w:before="280"/>
      </w:pPr>
      <w:r>
        <w:rPr>
          <w:rFonts w:ascii="Arial" w:cs="Arial" w:eastAsia="Arial" w:hAnsi="Arial"/>
          <w:b/>
          <w:bCs/>
          <w:color w:val="1F2328"/>
          <w:sz w:val="26"/>
          <w:szCs w:val="26"/>
        </w:rPr>
        <w:t xml:space="preserve">2. Report basics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Report type</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Type 1 tests design on one date. Type 2 tests design and operation over a period, and is the one that shows controls ran.</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Title page, 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Period covered</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A Type 2 period, or a Type 1 as-of date, that ended recently enough to rely on.</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Title page, 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Auditor is a licensed CPA firm</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The firm named on the opinion letter appears in the license register of a state board of accountancy.</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Opinion type</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Unqualified, qualified, adverse, or a disclaimer of opinion.</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cantSplit/>
          <w:tblHeader/>
        </w:trPr>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Opinion</w:t>
            </w:r>
          </w:p>
        </w:tc>
        <w:tc>
          <w:tcPr>
            <w:tcW w:type="dxa" w:w="711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means</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Unqualified</w:t>
            </w:r>
          </w:p>
        </w:tc>
        <w:tc>
          <w:tcPr>
            <w:tcW w:type="dxa" w:w="711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CPA firm concluded that the description is fairly presented and the controls were suitably designed and, for a Type 2, operated effectively. Exceptions can still appear in Section 4.</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Qualified</w:t>
            </w:r>
          </w:p>
        </w:tc>
        <w:tc>
          <w:tcPr>
            <w:tcW w:type="dxa" w:w="711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same conclusion except for one or more matters the opinion names. Read the basis paragraph and decide whether those matters touch your data.</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Adverse</w:t>
            </w:r>
          </w:p>
        </w:tc>
        <w:tc>
          <w:tcPr>
            <w:tcW w:type="dxa" w:w="711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concluded that the description is not fairly presented or the controls did not meet the criteria. Escalate before relying on the vendor.</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Disclaimer of opinion</w:t>
            </w:r>
          </w:p>
        </w:tc>
        <w:tc>
          <w:tcPr>
            <w:tcW w:type="dxa" w:w="711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could not obtain enough evidence to form an opinion. The report gives you no assurance.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Trust services categories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The categories in scope cover what you rely on the vendor for, for example Availability if you depend on its uptime.</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Sections 1 and 3</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Systems in scope</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The product and locations you actually use are inside the described system.</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Section 3</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Subservice organizations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one is named, with the carve out method (its controls excluded) or the inclusive method (its controls included and tested).</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3</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The opinion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Signed and dated</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Firm letterhead, the city it signed from, a date and a signature.</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Modifications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 paragraph headed basis for qualified opinion, adverse opinion or disclaimer, and what it says.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1</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Management assertion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Present and consistent</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Signed by vendor management, naming the same system, period and categories as the opinion.</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2</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Exceptions and deviations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Exceptions listed</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Every test with a deviation in the results. Log each one on the Exceptions log sheet with your judgement.</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Section 4</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responses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vendor management says it did about each exception. The auditor usually has not tested these responses.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4 or 5</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Log each exception with the criterion, the control, the exception as the report states it, the vendor response, and your judgement: Acceptable, Acceptable with follow up, Escalate, or Not acceptable. Judge it against what you rely on the vendor for, not against how many exceptions there 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936"/>
        <w:gridCol w:w="2059"/>
        <w:gridCol w:w="1685"/>
        <w:gridCol w:w="1310"/>
        <w:gridCol w:w="1310"/>
        <w:gridCol w:w="1498"/>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Ref</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Exception as reported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Vendor response</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Your judgement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Effect on us</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Action</w:t>
            </w:r>
          </w:p>
        </w:tc>
      </w:tr>
      <w:tr>
        <w:trPr>
          <w:cantSplit/>
          <w:trHeight w:val="504" w:hRule="atLeas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Complementary user entity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Complementary user entity controls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controls the vendor assumes you operate. List each one and who at your company does it.</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3</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vendor designed its controls assuming its customers operate these. If [Company name] does not, the vendor's controls may not achieve what the report says for [Company name]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3744"/>
        <w:gridCol w:w="1872"/>
      </w:tblGrid>
      <w:tr>
        <w:trPr>
          <w:cantSplit/>
          <w:tblHeader/>
        </w:trPr>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the report assigns to you</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How we operate it</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Height w:val="504" w:hRule="atLeas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Subservice organizations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reports</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each carved out subservice organization, whether you need its own report or rely on the vendor monitoring it.</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Section 3</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Bridge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680"/>
        <w:gridCol w:w="1498"/>
        <w:gridCol w:w="1310"/>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Check</w:t>
            </w:r>
          </w:p>
        </w:tc>
        <w:tc>
          <w:tcPr>
            <w:tcW w:type="dxa" w:w="468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look for</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in the report</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Result</w:t>
            </w:r>
          </w:p>
        </w:tc>
      </w:tr>
      <w:tr>
        <w:trPr>
          <w:cantSplit/>
          <w:trHeight w:val="504" w:hRule="atLeas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Gap since the period ended</w:t>
            </w:r>
          </w:p>
        </w:tc>
        <w:tc>
          <w:tcPr>
            <w:tcW w:type="dxa" w:w="468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If the period ended more than three months before your review, a bridge letter from vendor management covering the months since.</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Separate letter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 bridge letter is a statement by vendor management, not by the CPA firm, and it gives no assurance. It is still the record of what the vendor says changed since the period ended.</w:t>
      </w:r>
    </w:p>
    <w:p>
      <w:pPr>
        <w:pStyle w:val="Heading2"/>
        <w:keepNext/>
        <w:spacing w:after="120" w:before="280"/>
      </w:pPr>
      <w:r>
        <w:rPr>
          <w:rFonts w:ascii="Arial" w:cs="Arial" w:eastAsia="Arial" w:hAnsi="Arial"/>
          <w:b/>
          <w:bCs/>
          <w:color w:val="1F2328"/>
          <w:sz w:val="26"/>
          <w:szCs w:val="26"/>
        </w:rPr>
        <w:t xml:space="preserve">10. Conclusion and sign-off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Conclusion</w:t>
            </w:r>
          </w:p>
        </w:tc>
        <w:tc>
          <w:tcPr>
            <w:tcW w:type="dxa" w:w="692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When to choose it</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check met, and no exception touches what you rely on the vendor for.</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 with follow up</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Usable now, with named actions, such as checking an exception in the next report.</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Escalate</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qualified opinion, an exception that touches your data, or a scope gap. The approver decides.</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 not rely</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 adverse opinion, a disclaimer, a firm you cannot find in a license register, or a report that does not cover the service you use.</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Conclusion: [Accept, Accept with follow up, Escalate or Do not rely]. Next review: [Next review].</w:t>
      </w:r>
    </w:p>
    <w:p>
      <w:pPr>
        <w:keepNext/>
        <w:keepLines/>
        <w:spacing w:after="60" w:before="240" w:line="276"/>
      </w:pPr>
      <w:r>
        <w:rPr>
          <w:rFonts w:ascii="Arial" w:cs="Arial" w:eastAsia="Arial" w:hAnsi="Arial"/>
          <w:b/>
          <w:bCs/>
          <w:color w:val="1F2328"/>
          <w:sz w:val="20"/>
          <w:szCs w:val="20"/>
        </w:rPr>
        <w:t xml:space="preserve">Reviewer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keepLines/>
        <w:pBdr>
          <w:bottom w:val="single" w:color="D0D7DE" w:sz="4" w:space="2"/>
        </w:pBdr>
        <w:spacing w:after="60" w:before="200"/>
      </w:pPr>
      <w:r>
        <w:rPr>
          <w:rFonts w:ascii="Arial" w:cs="Arial" w:eastAsia="Arial" w:hAnsi="Arial"/>
          <w:color w:val="57606A"/>
          <w:sz w:val="19"/>
          <w:szCs w:val="19"/>
        </w:rPr>
        <w:t xml:space="preserve">Date: </w:t>
      </w:r>
    </w:p>
    <w:p>
      <w:pPr>
        <w:keepNext/>
        <w:keepLines/>
        <w:spacing w:after="60" w:before="240" w:line="276"/>
      </w:pPr>
      <w:r>
        <w:rPr>
          <w:rFonts w:ascii="Arial" w:cs="Arial" w:eastAsia="Arial" w:hAnsi="Arial"/>
          <w:b/>
          <w:bCs/>
          <w:color w:val="1F2328"/>
          <w:sz w:val="20"/>
          <w:szCs w:val="20"/>
        </w:rPr>
        <w:t xml:space="preserve">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Worked example</w:t>
      </w:r>
    </w:p>
    <w:p>
      <w:pPr>
        <w:spacing w:after="120" w:before="0" w:line="276"/>
      </w:pPr>
      <w:r>
        <w:rPr>
          <w:rFonts w:ascii="Arial" w:cs="Arial" w:eastAsia="Arial" w:hAnsi="Arial"/>
          <w:color w:val="1F2328"/>
          <w:sz w:val="20"/>
          <w:szCs w:val="20"/>
        </w:rPr>
        <w:t xml:space="preserve">Moonrake, a fictional ten person company that sells API security monitoring to fintech companies, reviews the SOC 2 Type 2 report of Lanternfish (lanternfish.dev), the fictional analytics provider behind its dashboard usage data. The workbook carries the same review with every check filled in.</w:t>
      </w:r>
    </w:p>
    <w:p>
      <w:pPr>
        <w:pStyle w:val="Heading3"/>
        <w:keepNext/>
        <w:keepLines/>
        <w:spacing w:after="80" w:before="200"/>
      </w:pPr>
      <w:r>
        <w:rPr>
          <w:rFonts w:ascii="Arial" w:cs="Arial" w:eastAsia="Arial" w:hAnsi="Arial"/>
          <w:b/>
          <w:bCs/>
          <w:color w:val="1F2328"/>
          <w:sz w:val="22"/>
          <w:szCs w:val="22"/>
        </w:rPr>
        <w:t xml:space="preserve">11.1 Review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Item</w:t>
            </w:r>
          </w:p>
        </w:tc>
        <w:tc>
          <w:tcPr>
            <w:tcW w:type="dxa" w:w="692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Entry</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and service</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Lanternfish, product analytics for the Moonrake dashboard</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SOC 2 Type 2, the Lanternfish analytics platform, Security and Availability</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April to 31 March</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CPA firm</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Named in Section 1 and found in the license register of its state board</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Opinion</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Unqualified</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Reviewed</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21 July, by the chief technology officer</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Bridge letter</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Requested on 21 July and received 28 July. It disclosed one change: access removal is now automated from the human resources system</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Conclusion</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 with follow up, approved by the chief executive officer</w:t>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11.2 Exceptions and the reviewer judgement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2"/>
        <w:gridCol w:w="936"/>
        <w:gridCol w:w="2434"/>
        <w:gridCol w:w="2059"/>
        <w:gridCol w:w="1310"/>
        <w:gridCol w:w="2059"/>
      </w:tblGrid>
      <w:tr>
        <w:trPr>
          <w:cantSplit/>
          <w:tblHeader/>
        </w:trPr>
        <w:tc>
          <w:tcPr>
            <w:tcW w:type="dxa" w:w="56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Ref</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Exception as reported</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Vendor response</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Judgement</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Effect on Moonrake</w:t>
            </w:r>
          </w:p>
        </w:tc>
      </w:tr>
      <w:tr>
        <w:trPr>
          <w:cantSpli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2 of 25 terminated employees sampled, production access was removed 9 and 14 days after termination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Removal is now triggered automatically from the human resources system. Management states neither account was used after termination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with follow up</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Low. Lanternfish holds usage events keyed by hashed user IDs, not API traffic or credentials</w:t>
            </w:r>
          </w:p>
        </w:tc>
      </w:tr>
      <w:tr>
        <w:trPr>
          <w:cantSplit/>
        </w:trPr>
        <w:tc>
          <w:tcPr>
            <w:tcW w:type="dxa" w:w="56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E2</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1 of 40 changes sampled, the change was deployed without the documented peer review</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Branch protection now blocks a merge without an approving review</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Low. One change, and the response closes the path it used</w:t>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11.3 Complementary user entity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3744"/>
        <w:gridCol w:w="1872"/>
      </w:tblGrid>
      <w:tr>
        <w:trPr>
          <w:cantSplit/>
          <w:tblHeader/>
        </w:trPr>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the report assigns to Moonrake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How Moonrake operates it</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entities manage their own users of the Lanternfish dashboard, including removing people who leave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Lanternfish sign in goes through Okta, and the accounts are in the quarterly access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Chief technology officer</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entities send only the data their agreement with Lanternfish allows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Moonrake sends dashboard usage events keyed by a hashed user ID, and no customer API traffic</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entities protect the API keys they use to send events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key is held in AWS Secrets Manager and rotated once a year</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vendor the questionnaire or report review is about, by its legal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[Service used]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your company uses the vendor for, and what data the vendor holds.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person who works through the checklist, with their role.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review is finished and signed.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the vendor is reviewed again, for example on receipt of its next report.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www.polaralabs.com/templates/soc-2-report-review-checklist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SOC 2 Report Review Checklist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Report Review Checklist,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