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SOC 2 Controls 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Controls</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47</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Category in scope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(the common criteria)</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Criteria</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Trust services criteria, 2017, with revised points of focus</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Sized for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A small software company running production with one cloud provider</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How to use this list</w:t>
      </w:r>
    </w:p>
    <w:p>
      <w:pPr>
        <w:spacing w:after="120" w:before="0" w:line="276"/>
      </w:pPr>
      <w:r>
        <w:rPr>
          <w:rFonts w:ascii="Arial" w:cs="Arial" w:eastAsia="Arial" w:hAnsi="Arial"/>
          <w:color w:val="1F2328"/>
          <w:sz w:val="20"/>
          <w:szCs w:val="20"/>
        </w:rPr>
        <w:t xml:space="preserve">SOC 2 has no official list of controls. The AICPA publishes the trust services criteria, with points of focus that describe what each criterion can involve, and each company writes its own controls to meet them. An independent licensed CPA firm then tests the controls the company describes.</w:t>
      </w:r>
    </w:p>
    <w:p>
      <w:pPr>
        <w:spacing w:after="120" w:before="0" w:line="276"/>
      </w:pPr>
      <w:r>
        <w:rPr>
          <w:rFonts w:ascii="Arial" w:cs="Arial" w:eastAsia="Arial" w:hAnsi="Arial"/>
          <w:color w:val="1F2328"/>
          <w:sz w:val="20"/>
          <w:szCs w:val="20"/>
        </w:rPr>
        <w:t xml:space="preserve">This list is one control set for a small software company with the Security category in scope: 47 controls, grouped below by the criterion series of the first criterion each one serves, with the policy that owns it and the evidence that shows it operates. The last section turns it around and lists, for every common criterion, the controls that map to it.</w:t>
      </w:r>
    </w:p>
    <w:p>
      <w:pPr>
        <w:pStyle w:val="ListParagraph"/>
        <w:numPr>
          <w:ilvl w:val="0"/>
          <w:numId w:val="2"/>
        </w:numPr>
        <w:spacing w:after="60" w:line="276"/>
      </w:pPr>
      <w:r>
        <w:rPr>
          <w:rFonts w:ascii="Arial" w:cs="Arial" w:eastAsia="Arial" w:hAnsi="Arial"/>
          <w:color w:val="1F2328"/>
          <w:sz w:val="20"/>
          <w:szCs w:val="20"/>
        </w:rPr>
        <w:t xml:space="preserve">Rewrite any control your company does not run exactly as written. The auditor tests what the description says.</w:t>
      </w:r>
    </w:p>
    <w:p>
      <w:pPr>
        <w:pStyle w:val="ListParagraph"/>
        <w:numPr>
          <w:ilvl w:val="0"/>
          <w:numId w:val="2"/>
        </w:numPr>
        <w:spacing w:after="60" w:line="276"/>
      </w:pPr>
      <w:r>
        <w:rPr>
          <w:rFonts w:ascii="Arial" w:cs="Arial" w:eastAsia="Arial" w:hAnsi="Arial"/>
          <w:color w:val="1F2328"/>
          <w:sz w:val="20"/>
          <w:szCs w:val="20"/>
        </w:rPr>
        <w:t xml:space="preserve">Name an owner for every control. The Excel version has an Owner column for it.</w:t>
      </w:r>
    </w:p>
    <w:p>
      <w:pPr>
        <w:pStyle w:val="ListParagraph"/>
        <w:numPr>
          <w:ilvl w:val="0"/>
          <w:numId w:val="2"/>
        </w:numPr>
        <w:spacing w:after="60" w:line="276"/>
      </w:pPr>
      <w:r>
        <w:rPr>
          <w:rFonts w:ascii="Arial" w:cs="Arial" w:eastAsia="Arial" w:hAnsi="Arial"/>
          <w:color w:val="1F2328"/>
          <w:sz w:val="20"/>
          <w:szCs w:val="20"/>
        </w:rPr>
        <w:t xml:space="preserve">Add a control for any criterion your company meets in a way this set does not describe.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2. CC1 Control environment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5"/>
        <w:gridCol w:w="3089"/>
        <w:gridCol w:w="1310"/>
        <w:gridCol w:w="1685"/>
        <w:gridCol w:w="2621"/>
      </w:tblGrid>
      <w:tr>
        <w:trPr>
          <w:cantSplit/>
          <w:tblHeader/>
        </w:trPr>
        <w:tc>
          <w:tcPr>
            <w:tcW w:type="dxa" w:w="65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Code</w:t>
            </w:r>
          </w:p>
        </w:tc>
        <w:tc>
          <w:tcPr>
            <w:tcW w:type="dxa" w:w="308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Criteria</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Owning policy</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that proves it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H3</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completes security awareness training at hire and every year after.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CC1.4, CC2.2</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training completion report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B4</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employee and contractor acknowledges the code of conduct.</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of Conduct</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of Conduct document or acknowledgment log</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Background checks are completed before a person starts.</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CC1.4</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Redacted example of completed background check</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H2</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person signs a non-disclosure agreement at hire.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CC1.1, CC1.4</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NDA or confidentiality agreement template; Example of signed NDA (redacted)</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Management reviews the security and compliance program at least once a year.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CC1.2, CC4.1, CC5.3</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Meeting notes or review documentation</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B3</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roles and responsibilities are documented and communicated.</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CC1.3, CC2.2</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RACI matrix or org chart showing security roles</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B8</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body outside day to day management, such as a board or a named independent advisor, reviews security on a set schedule.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CC1.2, CC4.1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Minutes of the most recent review</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B9</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responsibilities are written into job descriptions or performance expectations for staff with production access.</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CC1.5</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job description or performance template showing those responsibilities (redacted)</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CC2 Communication and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5"/>
        <w:gridCol w:w="3089"/>
        <w:gridCol w:w="1310"/>
        <w:gridCol w:w="1685"/>
        <w:gridCol w:w="2621"/>
      </w:tblGrid>
      <w:tr>
        <w:trPr>
          <w:cantSplit/>
          <w:tblHeader/>
        </w:trPr>
        <w:tc>
          <w:tcPr>
            <w:tcW w:type="dxa" w:w="65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Code</w:t>
            </w:r>
          </w:p>
        </w:tc>
        <w:tc>
          <w:tcPr>
            <w:tcW w:type="dxa" w:w="308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Criteria</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Owning policy</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that proves it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Q2</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Customers are told which controls they are responsible for (complementary user entity controls).</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CC2.3</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Third Party and Vendor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 showing customer responsibilities</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CC3 Risk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5"/>
        <w:gridCol w:w="3089"/>
        <w:gridCol w:w="1310"/>
        <w:gridCol w:w="1685"/>
        <w:gridCol w:w="2621"/>
      </w:tblGrid>
      <w:tr>
        <w:trPr>
          <w:cantSplit/>
          <w:tblHeader/>
        </w:trPr>
        <w:tc>
          <w:tcPr>
            <w:tcW w:type="dxa" w:w="65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Code</w:t>
            </w:r>
          </w:p>
        </w:tc>
        <w:tc>
          <w:tcPr>
            <w:tcW w:type="dxa" w:w="308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Criteria</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Owning policy</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that proves it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formal information security risk assessment is completed at least once a year.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CC3.1, CC3.2, CC3.3, CC3.4</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assessment report or summary</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E2</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Identified risks and their mitigation actions are tracked in a risk register.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CC3.2</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Current risk register</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E4</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risk assessment explicitly considers fraud and insider misuse.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CC3.3</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assessment pages or register rows covering fraud and insider misuse</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E5</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Significant changes, such as new systems, vendors or headcount changes, are assessed for risk before rollout.</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CC3.4, CC5.1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change where the risk assessment is visible before the rollout</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CC4 Monitoring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5"/>
        <w:gridCol w:w="3089"/>
        <w:gridCol w:w="1310"/>
        <w:gridCol w:w="1685"/>
        <w:gridCol w:w="2621"/>
      </w:tblGrid>
      <w:tr>
        <w:trPr>
          <w:cantSplit/>
          <w:tblHeader/>
        </w:trPr>
        <w:tc>
          <w:tcPr>
            <w:tcW w:type="dxa" w:w="65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Code</w:t>
            </w:r>
          </w:p>
        </w:tc>
        <w:tc>
          <w:tcPr>
            <w:tcW w:type="dxa" w:w="308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Criteria</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Owning policy</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that proves it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Logs from the application and the infrastructure are collected in one central place.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CC4.1, CC4.2, CC7.2</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Operations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log dashboard showing coverage</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R2</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Remediation items from audits, incidents, tests and reviews are tracked until they are closed.</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CC4.2, CC5.3</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remediation tracker</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R4</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Control deficiencies are reported to management through a defined route, to named people.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CC4.2, CC2.1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deficiency report or tracker entry that reached management (redacted)</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CC6 Logical and physical access controls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5"/>
        <w:gridCol w:w="3089"/>
        <w:gridCol w:w="1310"/>
        <w:gridCol w:w="1685"/>
        <w:gridCol w:w="2621"/>
      </w:tblGrid>
      <w:tr>
        <w:trPr>
          <w:cantSplit/>
          <w:tblHeader/>
        </w:trPr>
        <w:tc>
          <w:tcPr>
            <w:tcW w:type="dxa" w:w="65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Code</w:t>
            </w:r>
          </w:p>
        </w:tc>
        <w:tc>
          <w:tcPr>
            <w:tcW w:type="dxa" w:w="308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Criteria</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Owning policy</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that proves it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Multi-factor authentication is enforced for every sign-in to the cloud provider console.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 CC6.6</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Control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MFA policy settings showing enforcement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G4</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to production systems is granted through roles, each limited to what the job needs.</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 CC6.2, CC6.3</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Control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or export of IAM roles/groups</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I2</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external connection to the service is encrypted with TLS.</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CC6.7</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Cryptography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SSL Labs scan or TLS configuration screenshot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I3</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Databases and backups are encrypted at rest.</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Cryptography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database/storage encryption settings</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is classified under a written scheme, and handling rules follow the classification.</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Classification Policy or matrix</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web application firewall or equivalent filters traffic to the service.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CC6.6</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Operations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WAF configuration/rules</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F4</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company laptop runs endpoint protection that is kept up to date.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CC6.8</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Asset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showing endpoint protection coverage</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G7</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is removed within 24 hours of a termination.</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CC6.2, CC6.3</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Control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of a recent termination access removal (redacted)</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G8</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user access to production is reviewed on a documented schedule.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CC6.2, CC6.3, CC1.5</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Control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Most recent completed access review</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G9</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named manager approves production access before it is granted.</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CC6.2, CC6.3</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Control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approved production access request with the approval visible (redacted)</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H4</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documented offboarding checklist records access revocation for each departure.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CC6.2, CC1.4</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completed offboarding record (redacted)</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I10</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has a set retention period and is securely disposed of at end of life.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CC6.5</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Retention schedule or one deletion record (redacted)</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F6</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 inventory lists every production system, data store and SaaS application, each with an owner.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 CC5.2, CC9.2</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Asset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Inventory showing each production system, data store and SaaS application with its owner</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CC7 System operations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5"/>
        <w:gridCol w:w="3089"/>
        <w:gridCol w:w="1310"/>
        <w:gridCol w:w="1685"/>
        <w:gridCol w:w="2621"/>
      </w:tblGrid>
      <w:tr>
        <w:trPr>
          <w:cantSplit/>
          <w:tblHeader/>
        </w:trPr>
        <w:tc>
          <w:tcPr>
            <w:tcW w:type="dxa" w:w="65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Code</w:t>
            </w:r>
          </w:p>
        </w:tc>
        <w:tc>
          <w:tcPr>
            <w:tcW w:type="dxa" w:w="308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Criteria</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Owning policy</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that proves it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 vulnerability scans run every month.</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Operations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Recent vulnerability scan report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written incident response plan exists and is approved by management.</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CC7.3, CC7.4, CC7.5</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Response Plan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Response Plan document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Production databases and volumes are backed up on a set schedule.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CC7.5, CC9.1 (A1.2 when Availability is in scope)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Business Continuity and Disaster Recovery Plan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backup configuration</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M3</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penetration test is performed every year.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CC7.1, CC4.1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Operations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Penetration test report or its executive summary</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M4</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Critical patches are applied within 30 days.</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Operations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Patching policy or evidence of recent patching</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O3</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root cause analysis is performed for every high severity incident.</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CC7.4, CC7.5</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Response Plan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Root cause analysis for a recent high-severity incident (redacted)</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P5</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disaster recovery and business continuity plan is tested at least once a year.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CC7.5, CC9.1 (A1.3 when Availability is in scope)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Business Continuity and Disaster Recovery Plan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DR test results or summary</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K3</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Alerts are configured for security events.</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CC7.2, CC7.3</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alert rules or recent alerts</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M5</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Production systems are configured to a documented hardening baseline.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CC7.1, CC5.2</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Operations Security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Baseline document or a configuration scan showing it applied</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CC8 Change management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5"/>
        <w:gridCol w:w="3089"/>
        <w:gridCol w:w="1310"/>
        <w:gridCol w:w="1685"/>
        <w:gridCol w:w="2621"/>
      </w:tblGrid>
      <w:tr>
        <w:trPr>
          <w:cantSplit/>
          <w:tblHeader/>
        </w:trPr>
        <w:tc>
          <w:tcPr>
            <w:tcW w:type="dxa" w:w="65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Code</w:t>
            </w:r>
          </w:p>
        </w:tc>
        <w:tc>
          <w:tcPr>
            <w:tcW w:type="dxa" w:w="308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Criteria</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Owning policy</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that proves it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change to production is tracked in a ticket or pull request.</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CC8.1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change tracking system; Example of a recent change (PR, ticket)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N2</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is peer reviewed before it is deployed.</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CC8.1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branch protection settings; Example PR showing code review approval</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N3</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Development, test and production environments are separated.</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CC8.1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Diagram or screenshot showing environment separation</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N4</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Emergency changes follow a documented procedure.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CC8.1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Emergency change procedure document; Example of a past emergency change</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N5</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Production deployments are approved by someone other than the author.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CC8.1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production release showing the recorded approval</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CC9 Risk mitigation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5"/>
        <w:gridCol w:w="3089"/>
        <w:gridCol w:w="1310"/>
        <w:gridCol w:w="1685"/>
        <w:gridCol w:w="2621"/>
      </w:tblGrid>
      <w:tr>
        <w:trPr>
          <w:cantSplit/>
          <w:tblHeader/>
        </w:trPr>
        <w:tc>
          <w:tcPr>
            <w:tcW w:type="dxa" w:w="65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Code</w:t>
            </w:r>
          </w:p>
        </w:tc>
        <w:tc>
          <w:tcPr>
            <w:tcW w:type="dxa" w:w="308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Criteria</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Owning policy</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Evidence that proves it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Q1</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Vendors are reviewed for security risk before onboarding and every year after.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Third Party and Vendor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risk assessment template or completed assessment</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C3</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subservice organization provides a SOC report or completes a security questionnaire.</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Third Party and Vendor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SOC report cover page or one completed security questionnaire (redacted)</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Q3</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vendor register lists each vendor with production data access, its criticality and the date of its last review.</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Third Party and Vendor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register</w:t>
            </w:r>
          </w:p>
        </w:tc>
      </w:tr>
      <w:tr>
        <w:trPr>
          <w:cantSplit/>
        </w:trPr>
        <w:tc>
          <w:tcPr>
            <w:tcW w:type="dxa" w:w="65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C4</w:t>
            </w:r>
          </w:p>
        </w:tc>
        <w:tc>
          <w:tcPr>
            <w:tcW w:type="dxa" w:w="308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SOC 2 report or security attestation of each subservice organization is reviewed every year.</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CC4.1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Third Party and Vendor Management Policy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completed review showing the report reviewed and the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10. Controls by criterion</w:t>
      </w:r>
    </w:p>
    <w:p>
      <w:pPr>
        <w:spacing w:after="120" w:before="0" w:line="276"/>
      </w:pPr>
      <w:r>
        <w:rPr>
          <w:rFonts w:ascii="Arial" w:cs="Arial" w:eastAsia="Arial" w:hAnsi="Arial"/>
          <w:color w:val="1F2328"/>
          <w:sz w:val="20"/>
          <w:szCs w:val="20"/>
        </w:rPr>
        <w:t xml:space="preserve">Every common criterion, and the two Availability criteria the set reaches when that category is in scope, with the controls that map to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3182"/>
        <w:gridCol w:w="4867"/>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Criterion</w:t>
            </w:r>
          </w:p>
        </w:tc>
        <w:tc>
          <w:tcPr>
            <w:tcW w:type="dxa" w:w="318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covers</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Controls</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CC1.1</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Integrity and ethics</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B4, H2</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CC1.2</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Board oversight</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R1, B8</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CC1.3</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Structure and reporting</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B3</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CC1.4</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Hiring and competence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H3, H1, H2, H4</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CC1.5</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Accountability</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G8, B9</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CC2.1</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Reliable information</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R4</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CC2.2</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 communication</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H3, B3</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CC2.3</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External communication</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Q2</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CC3.1</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objectives</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E1</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CC3.2</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identification</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E1, E2</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CC3.3</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Fraud risk</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E1, E4</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CC3.4</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Changes that add risk</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E1, E5</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CC4.1</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Control monitoring</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K1, M3, R1, B8, C4</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CC4.2</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Fixing deficiencies</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K1, R2, R4</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CC5.1</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Choosing controls</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E5</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CC5.2</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Technology controls</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F6, M5</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CC5.3</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Policies and procedures</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R1, R2</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Logical access</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G1, G4, I3, I1, F6</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CC6.2</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User provisioning</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G4, G7, G8, G9, H4</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CC6.3</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Least privilege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G4, G7, G8, G9</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CC6.4</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Physical access</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None in this set. See How to use.</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CC6.5</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and device disposal</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I10</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CC6.6</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Network boundaries</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G1, L1</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CC6.7</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in transit</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I2</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CC6.8</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Malware prevention</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F4</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CC7.1</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monitoring</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M1, M3, M4, M5</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CC7.2</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Anomaly monitoring</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K1, K3</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CC7.3</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triage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O1, K3</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CC7.4</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response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O1, O3</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CC7.5</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recovery</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O1, P1, O3, P5</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CC8.1</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Change management</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N1, N2, N3, N4, N5</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CC9.1</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Disruption risk</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P1, P5</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risk</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Q1, C3, F6, Q3, C4</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A1.2</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infrastructure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P1</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A1.3</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testing</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P5</w:t>
            </w:r>
          </w:p>
        </w:tc>
      </w:tr>
    </w:tbl>
    <w:p>
      <w:pPr>
        <w:spacing w:after="120" w:before="0" w:line="276"/>
      </w:pPr>
      <w:r>
        <w:rPr>
          <w:rFonts w:ascii="Arial" w:cs="Arial" w:eastAsia="Arial" w:hAnsi="Arial"/>
          <w:color w:val="1F2328"/>
          <w:sz w:val="20"/>
          <w:szCs w:val="20"/>
        </w:rPr>
        <w:t xml:space="preserve"/>
      </w:r>
    </w:p>
    <w:p>
      <w:pPr>
        <w:pBdr>
          <w:left w:val="single" w:color="8C959F" w:sz="12" w:space="8"/>
        </w:pBdr>
        <w:spacing w:after="160" w:before="60" w:line="276"/>
        <w:ind w:left="200"/>
      </w:pPr>
      <w:r>
        <w:rPr>
          <w:rFonts w:ascii="Arial" w:cs="Arial" w:eastAsia="Arial" w:hAnsi="Arial"/>
          <w:color w:val="1F2328"/>
          <w:sz w:val="19"/>
          <w:szCs w:val="19"/>
        </w:rPr>
        <w:t xml:space="preserve">CC6.4 covers physical access to facilities and equipment. A company with no data center of its own usually relies on its cloud provider for it, carved out of the report as a subservice organization, and controls C3 and C4 cover reviewing that provider's report. Add a physical access control if you keep servers or customer data in an office.</w:t>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www.polaralabs.com/templates/soc-2-controls-list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SOC 2 Controls List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 2 Controls List,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