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Security Incident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Kept in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[Ticketing system]</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Covers</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Every security event triaged and every security incident</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log</w:t>
      </w:r>
    </w:p>
    <w:p>
      <w:pPr>
        <w:spacing w:after="120" w:before="0" w:line="276"/>
      </w:pPr>
      <w:r>
        <w:rPr>
          <w:rFonts w:ascii="Arial" w:cs="Arial" w:eastAsia="Arial" w:hAnsi="Arial"/>
          <w:color w:val="1F2328"/>
          <w:sz w:val="20"/>
          <w:szCs w:val="20"/>
        </w:rPr>
        <w:t xml:space="preserve">This log is the one list of every security event [Company name] triaged and every security incident it handled. The Incident Response Plan says how an incident is run. This log is the record that it was. Keep one row per event, in the workbook or in [Ticketing system], and keep the same columns either way.</w:t>
      </w:r>
    </w:p>
    <w:p>
      <w:pPr>
        <w:spacing w:after="120" w:before="0" w:line="276"/>
      </w:pPr>
      <w:r>
        <w:rPr>
          <w:rFonts w:ascii="Arial" w:cs="Arial" w:eastAsia="Arial" w:hAnsi="Arial"/>
          <w:color w:val="1F2328"/>
          <w:sz w:val="20"/>
          <w:szCs w:val="20"/>
        </w:rPr>
        <w:t xml:space="preserve">Open a row the moment an event is triaged, not when it is resolved. Fill in what is known, write Unknown where nothing is known yet, and update the row as the response moves. A row is never deleted. An event that turns out not to be an incident stays in the log at SEV4, because the row is the evidence that it was looked 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4118"/>
        <w:gridCol w:w="3931"/>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expects</w:t>
            </w:r>
          </w:p>
        </w:tc>
        <w:tc>
          <w:tcPr>
            <w:tcW w:type="dxa" w:w="393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the log shows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CC7.3</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events are evaluated to decide whether they are security incidents</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event triaged and given a severity, including the ones closed as SEV4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CC7.4</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Identified incidents are handled under a defined response: understood, contained, remediated and communicated</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Containment, eradication, recovery and the customer notification decision for each incident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Activities to recover from identified incidents</w:t>
            </w:r>
          </w:p>
        </w:tc>
        <w:tc>
          <w:tcPr>
            <w:tcW w:type="dxa" w:w="393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root cause and the post-incident review with its actions closed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2. The severity scale</w:t>
      </w:r>
    </w:p>
    <w:p>
      <w:pPr>
        <w:spacing w:after="120" w:before="0" w:line="276"/>
      </w:pPr>
      <w:r>
        <w:rPr>
          <w:rFonts w:ascii="Arial" w:cs="Arial" w:eastAsia="Arial" w:hAnsi="Arial"/>
          <w:color w:val="1F2328"/>
          <w:sz w:val="20"/>
          <w:szCs w:val="20"/>
        </w:rPr>
        <w:t xml:space="preserve">Set the level at triage and raise it if the facts change. Each level has a trigger anyone on call can apply and a clock.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1030"/>
        <w:gridCol w:w="3182"/>
        <w:gridCol w:w="2059"/>
        <w:gridCol w:w="2246"/>
      </w:tblGrid>
      <w:tr>
        <w:trPr>
          <w:cantSplit/>
          <w:tblHeader/>
        </w:trPr>
        <w:tc>
          <w:tcPr>
            <w:tcW w:type="dxa" w:w="84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Level</w:t>
            </w:r>
          </w:p>
        </w:tc>
        <w:tc>
          <w:tcPr>
            <w:tcW w:type="dxa" w:w="103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Name</w:t>
            </w:r>
          </w:p>
        </w:tc>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Trigger</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Who is told</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Clock</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SEV1</w:t>
            </w:r>
          </w:p>
        </w:tc>
        <w:tc>
          <w:tcPr>
            <w:tcW w:type="dxa" w:w="103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Critical</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reached by someone who should not have it, or production down for all customers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 by phone at once, then the executive who sends customer notices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Contained the same day. The customer notice clock starts when the incident is declared</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SEV2</w:t>
            </w:r>
          </w:p>
        </w:tc>
        <w:tc>
          <w:tcPr>
            <w:tcW w:type="dxa" w:w="103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High</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control failed and could have exposed data, or production degraded for some customers</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 within the hour</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Contained the same day. Reviewed within five business days</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SEV3</w:t>
            </w:r>
          </w:p>
        </w:tc>
        <w:tc>
          <w:tcPr>
            <w:tcW w:type="dxa" w:w="103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Moderate</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account, device or dependency affected, and no data was reached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ticket, picked up the next business day</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 inside the remediation window your policy states</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SEV4</w:t>
            </w:r>
          </w:p>
        </w:tc>
        <w:tc>
          <w:tcPr>
            <w:tcW w:type="dxa" w:w="103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Event</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security event triaged and found not to be an incident: a scanner finding with no sign of use, failed sign ins, a phishing email nobody clicked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Nobody is woken. The row is the record of the triage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 at triage, or moved to the vulnerability queue</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These four levels are the three tiers of the Incident Response Plan template plus its "not an incident" row. If your plan uses different levels, copy them here so the plan and the log never disagree.</w:t>
      </w:r>
    </w:p>
    <w:p>
      <w:pPr>
        <w:pStyle w:val="Heading2"/>
        <w:keepNext/>
        <w:spacing w:after="120" w:before="280"/>
      </w:pPr>
      <w:r>
        <w:rPr>
          <w:rFonts w:ascii="Arial" w:cs="Arial" w:eastAsia="Arial" w:hAnsi="Arial"/>
          <w:b/>
          <w:bCs/>
          <w:color w:val="1F2328"/>
          <w:sz w:val="26"/>
          <w:szCs w:val="26"/>
        </w:rPr>
        <w:t xml:space="preserve">3. What each column holds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cantSplit/>
          <w:tblHeader/>
        </w:trPr>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Column</w:t>
            </w:r>
          </w:p>
        </w:tc>
        <w:tc>
          <w:tcPr>
            <w:tcW w:type="dxa" w:w="655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ID</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number that never repeats, for example INC-104. The same ID goes on the ticket, the review and any customer notice.</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Detected on</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event was first seen, from the alert or the report, not the day someone opened the ticket.</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Reported by</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person, customer, vendor or tool that raised it.</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Detection source</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alert, staff report, customer report, vendor notice, third party report, or audit or review.</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Severity</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SEV1 to SEV4 from the severity scale. If the level changed during the response, write the final level and note the change in the summary.</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Category</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Unauthorized access attempt, unauthorized access, credential exposure, malware, phishing, data exposure, denial of service, lost or stolen device, vendor incident, misconfiguration, or other.</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Systems affected</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systems named in your system inventory, not a general description.</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affected</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No or Unknown. Unknown is an honest answer while the facts are coming in. Change it once they are established, and say how.</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Summary</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Two or three sentences a reader outside the response can follow.</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Containment action</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stopped the harm from spreading.</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Contained at</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containment finished, counted from detection, for example same day, 35 minutes after the report.</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Eradication</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removed the cause.</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brought the affected systems back to normal operation.</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Restored at</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normal operation resumed, counted from detection.</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Root cause</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cause the review settled on, including any cause at a vendor.</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notification required</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No or Under review, judged against your contracts, your published commitments and any law that applies.</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Notification sent</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notice went out and who sent it, or Not required.</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Post-incident review date</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written review was held. Every SEV1 to SEV3 incident gets one.</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Owner</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accountable for closing the row.</w:t>
            </w:r>
          </w:p>
        </w:tc>
      </w:tr>
      <w:tr>
        <w:trPr>
          <w:cantSplit/>
        </w:trPr>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w:t>
            </w:r>
          </w:p>
        </w:tc>
        <w:tc>
          <w:tcPr>
            <w:tcW w:type="dxa" w:w="655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Open, Contained, Resolved or Closed. Closed means every review action is done.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Worked example</w:t>
      </w:r>
    </w:p>
    <w:p>
      <w:pPr>
        <w:spacing w:after="120" w:before="0" w:line="276"/>
      </w:pPr>
      <w:r>
        <w:rPr>
          <w:rFonts w:ascii="Arial" w:cs="Arial" w:eastAsia="Arial" w:hAnsi="Arial"/>
          <w:color w:val="1F2328"/>
          <w:sz w:val="20"/>
          <w:szCs w:val="20"/>
        </w:rPr>
        <w:t xml:space="preserve">Three rows from the log of Moonrake, a fictional ten person company that sells API security monitoring to fintech companies and runs on AWS. The full rows, with every column and two post-incident reviews, are in the workbook.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936"/>
        <w:gridCol w:w="655"/>
        <w:gridCol w:w="1217"/>
        <w:gridCol w:w="842"/>
        <w:gridCol w:w="2808"/>
        <w:gridCol w:w="1217"/>
        <w:gridCol w:w="842"/>
      </w:tblGrid>
      <w:tr>
        <w:trPr>
          <w:cantSplit/>
          <w:tblHeader/>
        </w:trPr>
        <w:tc>
          <w:tcPr>
            <w:tcW w:type="dxa" w:w="84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ID</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Detected</w:t>
            </w:r>
          </w:p>
        </w:tc>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Level</w:t>
            </w:r>
          </w:p>
        </w:tc>
        <w:tc>
          <w:tcPr>
            <w:tcW w:type="dxa" w:w="121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Category</w:t>
            </w:r>
          </w:p>
        </w:tc>
        <w:tc>
          <w:tcPr>
            <w:tcW w:type="dxa" w:w="84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Customer data</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happened and what was done</w:t>
            </w:r>
          </w:p>
        </w:tc>
        <w:tc>
          <w:tcPr>
            <w:tcW w:type="dxa" w:w="121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Notification</w:t>
            </w:r>
          </w:p>
        </w:tc>
        <w:tc>
          <w:tcPr>
            <w:tcW w:type="dxa" w:w="84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Status</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INC-104</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11 February</w:t>
            </w:r>
          </w:p>
        </w:tc>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SEV3</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Unauthorized access attempt</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Okta push requests the engineer had not started, all denied. Sessions revoked, password reset, number challenge turned on.</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required</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INC-107</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7 April</w:t>
            </w:r>
          </w:p>
        </w:tc>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SEV2</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Credential exposure</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 AWS pipeline key in a pull request. Deactivated in 25 minutes, CloudTrail showed no other use, pipeline moved to short lived credentials.</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required</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w:t>
            </w:r>
          </w:p>
        </w:tc>
      </w:tr>
      <w:tr>
        <w:trPr>
          <w:cantSplit/>
        </w:trPr>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INC-112</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12 August</w:t>
            </w:r>
          </w:p>
        </w:tc>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SEV1</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incident</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help desk vendor was breached and four tickets with customer contact details and one pasted API token were read. Token and integration key revoked.</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Sent 14 August to the four customers</w:t>
            </w:r>
          </w:p>
        </w:tc>
        <w:tc>
          <w:tcPr>
            <w:tcW w:type="dxa" w:w="84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The post-incident review record</w:t>
      </w:r>
    </w:p>
    <w:p>
      <w:pPr>
        <w:spacing w:after="120" w:before="0" w:line="276"/>
      </w:pPr>
      <w:r>
        <w:rPr>
          <w:rFonts w:ascii="Arial" w:cs="Arial" w:eastAsia="Arial" w:hAnsi="Arial"/>
          <w:color w:val="1F2328"/>
          <w:sz w:val="20"/>
          <w:szCs w:val="20"/>
        </w:rPr>
        <w:t xml:space="preserve">Every SEV1 to SEV3 incident gets a short written review within five business days. Record it on the Post-incident review sheet, or in the ticket, with:</w:t>
      </w:r>
    </w:p>
    <w:p>
      <w:pPr>
        <w:pStyle w:val="ListParagraph"/>
        <w:numPr>
          <w:ilvl w:val="0"/>
          <w:numId w:val="2"/>
        </w:numPr>
        <w:spacing w:after="60" w:line="276"/>
      </w:pPr>
      <w:r>
        <w:rPr>
          <w:rFonts w:ascii="Arial" w:cs="Arial" w:eastAsia="Arial" w:hAnsi="Arial"/>
          <w:color w:val="1F2328"/>
          <w:sz w:val="20"/>
          <w:szCs w:val="20"/>
        </w:rPr>
        <w:t xml:space="preserve">The incident ID, the review date and who attended.</w:t>
      </w:r>
    </w:p>
    <w:p>
      <w:pPr>
        <w:pStyle w:val="ListParagraph"/>
        <w:numPr>
          <w:ilvl w:val="0"/>
          <w:numId w:val="2"/>
        </w:numPr>
        <w:spacing w:after="60" w:line="276"/>
      </w:pPr>
      <w:r>
        <w:rPr>
          <w:rFonts w:ascii="Arial" w:cs="Arial" w:eastAsia="Arial" w:hAnsi="Arial"/>
          <w:color w:val="1F2328"/>
          <w:sz w:val="20"/>
          <w:szCs w:val="20"/>
        </w:rPr>
        <w:t xml:space="preserve">A timeline with times: detected, declared, contained, restored and, where it applies, customers notified.</w:t>
      </w:r>
    </w:p>
    <w:p>
      <w:pPr>
        <w:pStyle w:val="ListParagraph"/>
        <w:numPr>
          <w:ilvl w:val="0"/>
          <w:numId w:val="2"/>
        </w:numPr>
        <w:spacing w:after="60" w:line="276"/>
      </w:pPr>
      <w:r>
        <w:rPr>
          <w:rFonts w:ascii="Arial" w:cs="Arial" w:eastAsia="Arial" w:hAnsi="Arial"/>
          <w:color w:val="1F2328"/>
          <w:sz w:val="20"/>
          <w:szCs w:val="20"/>
        </w:rPr>
        <w:t xml:space="preserve">How long it took to detect and to contain.</w:t>
      </w:r>
    </w:p>
    <w:p>
      <w:pPr>
        <w:pStyle w:val="ListParagraph"/>
        <w:numPr>
          <w:ilvl w:val="0"/>
          <w:numId w:val="2"/>
        </w:numPr>
        <w:spacing w:after="60" w:line="276"/>
      </w:pPr>
      <w:r>
        <w:rPr>
          <w:rFonts w:ascii="Arial" w:cs="Arial" w:eastAsia="Arial" w:hAnsi="Arial"/>
          <w:color w:val="1F2328"/>
          <w:sz w:val="20"/>
          <w:szCs w:val="20"/>
        </w:rPr>
        <w:t xml:space="preserve">What worked and what did not.</w:t>
      </w:r>
    </w:p>
    <w:p>
      <w:pPr>
        <w:pStyle w:val="ListParagraph"/>
        <w:numPr>
          <w:ilvl w:val="0"/>
          <w:numId w:val="2"/>
        </w:numPr>
        <w:spacing w:after="60" w:line="276"/>
      </w:pPr>
      <w:r>
        <w:rPr>
          <w:rFonts w:ascii="Arial" w:cs="Arial" w:eastAsia="Arial" w:hAnsi="Arial"/>
          <w:color w:val="1F2328"/>
          <w:sz w:val="20"/>
          <w:szCs w:val="20"/>
        </w:rPr>
        <w:t xml:space="preserve">The root cause.</w:t>
      </w:r>
    </w:p>
    <w:p>
      <w:pPr>
        <w:pStyle w:val="ListParagraph"/>
        <w:numPr>
          <w:ilvl w:val="0"/>
          <w:numId w:val="2"/>
        </w:numPr>
        <w:spacing w:after="60" w:line="276"/>
      </w:pPr>
      <w:r>
        <w:rPr>
          <w:rFonts w:ascii="Arial" w:cs="Arial" w:eastAsia="Arial" w:hAnsi="Arial"/>
          <w:color w:val="1F2328"/>
          <w:sz w:val="20"/>
          <w:szCs w:val="20"/>
        </w:rPr>
        <w:t xml:space="preserve">At least one action, with an owner, a due date and the date it closed.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When there were no incidents</w:t>
      </w:r>
    </w:p>
    <w:p>
      <w:pPr>
        <w:spacing w:after="120" w:before="0" w:line="276"/>
      </w:pPr>
      <w:r>
        <w:rPr>
          <w:rFonts w:ascii="Arial" w:cs="Arial" w:eastAsia="Arial" w:hAnsi="Arial"/>
          <w:color w:val="1F2328"/>
          <w:sz w:val="20"/>
          <w:szCs w:val="20"/>
        </w:rPr>
        <w:t xml:space="preserve">A period with no incidents still leaves a record. The log shows the events triaged and closed at SEV4, and management signs the statement below at the end of the period. Auditors read it beside the alert history and the tickets, so sign it only when the log supports it.</w:t>
      </w:r>
    </w:p>
    <w:p>
      <w:pPr>
        <w:pStyle w:val="Heading3"/>
        <w:keepNext/>
        <w:keepLines/>
        <w:spacing w:after="80" w:before="200"/>
      </w:pPr>
      <w:r>
        <w:rPr>
          <w:rFonts w:ascii="Arial" w:cs="Arial" w:eastAsia="Arial" w:hAnsi="Arial"/>
          <w:b/>
          <w:bCs/>
          <w:color w:val="1F2328"/>
          <w:sz w:val="22"/>
          <w:szCs w:val="22"/>
        </w:rPr>
        <w:t xml:space="preserve">6.1 Statement of no security incidents</w:t>
      </w:r>
    </w:p>
    <w:p>
      <w:pPr>
        <w:spacing w:after="120" w:before="0" w:line="276"/>
      </w:pPr>
      <w:r>
        <w:rPr>
          <w:rFonts w:ascii="Arial" w:cs="Arial" w:eastAsia="Arial" w:hAnsi="Arial"/>
          <w:color w:val="1F2328"/>
          <w:sz w:val="20"/>
          <w:szCs w:val="20"/>
        </w:rPr>
        <w:t xml:space="preserve">The management of [Company name] states that no security incidents, as the Incident Response Plan defines them, were identified during the period [Period start] to [Period end]. Every security event triaged during the period is recorded in the security incident log, at SEV4, with the triage decision.</w:t>
      </w:r>
    </w:p>
    <w:p>
      <w:pPr>
        <w:spacing w:after="120" w:before="0" w:line="276"/>
      </w:pPr>
      <w:r>
        <w:rPr>
          <w:rFonts w:ascii="Arial" w:cs="Arial" w:eastAsia="Arial" w:hAnsi="Arial"/>
          <w:color w:val="1F2328"/>
          <w:sz w:val="20"/>
          <w:szCs w:val="20"/>
        </w:rPr>
        <w:t xml:space="preserve">[Signer name], [Signer title], [Company name]</w:t>
      </w:r>
    </w:p>
    <w:p>
      <w:pPr>
        <w:keepNext/>
        <w:keepLines/>
        <w:spacing w:after="60" w:before="240" w:line="276"/>
      </w:pPr>
      <w:r>
        <w:rPr>
          <w:rFonts w:ascii="Arial" w:cs="Arial" w:eastAsia="Arial" w:hAnsi="Arial"/>
          <w:b/>
          <w:bCs/>
          <w:color w:val="1F2328"/>
          <w:sz w:val="20"/>
          <w:szCs w:val="20"/>
        </w:rPr>
        <w:t xml:space="preserve">Officer signing for management</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7. Keeping the records</w:t>
      </w:r>
    </w:p>
    <w:p>
      <w:pPr>
        <w:pStyle w:val="ListParagraph"/>
        <w:numPr>
          <w:ilvl w:val="0"/>
          <w:numId w:val="3"/>
        </w:numPr>
        <w:spacing w:after="60" w:line="276"/>
      </w:pPr>
      <w:r>
        <w:rPr>
          <w:rFonts w:ascii="Arial" w:cs="Arial" w:eastAsia="Arial" w:hAnsi="Arial"/>
          <w:color w:val="1F2328"/>
          <w:sz w:val="20"/>
          <w:szCs w:val="20"/>
        </w:rPr>
        <w:t xml:space="preserve">Keep the log, the tickets behind each row, the reviews and any customer notices for the period the Data Retention Policy sets for security records.</w:t>
      </w:r>
    </w:p>
    <w:p>
      <w:pPr>
        <w:pStyle w:val="ListParagraph"/>
        <w:numPr>
          <w:ilvl w:val="0"/>
          <w:numId w:val="3"/>
        </w:numPr>
        <w:spacing w:after="60" w:line="276"/>
      </w:pPr>
      <w:r>
        <w:rPr>
          <w:rFonts w:ascii="Arial" w:cs="Arial" w:eastAsia="Arial" w:hAnsi="Arial"/>
          <w:color w:val="1F2328"/>
          <w:sz w:val="20"/>
          <w:szCs w:val="20"/>
        </w:rPr>
        <w:t xml:space="preserve">Store them in [Evidence storage location], where an auditor can be given them, and restrict editing to the [Security owner role].</w:t>
      </w:r>
    </w:p>
    <w:p>
      <w:pPr>
        <w:pStyle w:val="ListParagraph"/>
        <w:numPr>
          <w:ilvl w:val="0"/>
          <w:numId w:val="3"/>
        </w:numPr>
        <w:spacing w:after="60" w:line="276"/>
      </w:pPr>
      <w:r>
        <w:rPr>
          <w:rFonts w:ascii="Arial" w:cs="Arial" w:eastAsia="Arial" w:hAnsi="Arial"/>
          <w:color w:val="1F2328"/>
          <w:sz w:val="20"/>
          <w:szCs w:val="20"/>
        </w:rPr>
        <w:t xml:space="preserve">Never edit a closed row to change what happened. Add a note with the date and the correction.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first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end]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last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signing for management.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title, printed under the name.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www.polaralabs.com/templates/incident-log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Security Incident Log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Incident Log,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