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Information Security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sets out how [Company name] (the "Company") runs its information security program: who owns it, which policies sit under it, how management oversees it and how it is kept current. It supports the SOC 2 common criteria CC1.1, CC1.3 and CC2.2.</w:t>
      </w:r>
    </w:p>
    <w:p>
      <w:pPr>
        <w:spacing w:after="120" w:before="0" w:line="276"/>
      </w:pPr>
      <w:r>
        <w:rPr>
          <w:rFonts w:ascii="Arial" w:cs="Arial" w:eastAsia="Arial" w:hAnsi="Arial"/>
          <w:color w:val="1F2328"/>
          <w:sz w:val="20"/>
          <w:szCs w:val="20"/>
        </w:rPr>
        <w:t xml:space="preserve">This policy applies to all [In-scope personnel] and [In-scope systems]. Where a topic policy listed in section 6 is more specific, the topic policy applies.</w:t>
      </w:r>
    </w:p>
    <w:p>
      <w:pPr>
        <w:pStyle w:val="Heading2"/>
        <w:keepNext/>
        <w:spacing w:after="120" w:before="280"/>
      </w:pPr>
      <w:r>
        <w:rPr>
          <w:rFonts w:ascii="Arial" w:cs="Arial" w:eastAsia="Arial" w:hAnsi="Arial"/>
          <w:b/>
          <w:bCs/>
          <w:color w:val="1F2328"/>
          <w:sz w:val="26"/>
          <w:szCs w:val="26"/>
        </w:rPr>
        <w:t xml:space="preserve">2. Security objectives</w:t>
      </w:r>
    </w:p>
    <w:p>
      <w:pPr>
        <w:spacing w:after="120" w:before="0" w:line="276"/>
      </w:pPr>
      <w:r>
        <w:rPr>
          <w:rFonts w:ascii="Arial" w:cs="Arial" w:eastAsia="Arial" w:hAnsi="Arial"/>
          <w:color w:val="1F2328"/>
          <w:sz w:val="20"/>
          <w:szCs w:val="20"/>
        </w:rPr>
        <w:t xml:space="preserve">The security program exists to meet these objectives, and every policy under it serves at least one of them.</w:t>
      </w:r>
    </w:p>
    <w:p>
      <w:pPr>
        <w:pStyle w:val="ListParagraph"/>
        <w:numPr>
          <w:ilvl w:val="0"/>
          <w:numId w:val="2"/>
        </w:numPr>
        <w:spacing w:after="60" w:line="276"/>
      </w:pPr>
      <w:r>
        <w:rPr>
          <w:rFonts w:ascii="Arial" w:cs="Arial" w:eastAsia="Arial" w:hAnsi="Arial"/>
          <w:color w:val="1F2328"/>
          <w:sz w:val="20"/>
          <w:szCs w:val="20"/>
        </w:rPr>
        <w:t xml:space="preserve">Protect customer data from unauthorized access, change and loss.</w:t>
      </w:r>
    </w:p>
    <w:p>
      <w:pPr>
        <w:pStyle w:val="ListParagraph"/>
        <w:numPr>
          <w:ilvl w:val="0"/>
          <w:numId w:val="2"/>
        </w:numPr>
        <w:spacing w:after="60" w:line="276"/>
      </w:pPr>
      <w:r>
        <w:rPr>
          <w:rFonts w:ascii="Arial" w:cs="Arial" w:eastAsia="Arial" w:hAnsi="Arial"/>
          <w:color w:val="1F2328"/>
          <w:sz w:val="20"/>
          <w:szCs w:val="20"/>
        </w:rPr>
        <w:t xml:space="preserve">Keep the service available enough to meet the commitments made to customers.</w:t>
      </w:r>
    </w:p>
    <w:p>
      <w:pPr>
        <w:pStyle w:val="ListParagraph"/>
        <w:numPr>
          <w:ilvl w:val="0"/>
          <w:numId w:val="2"/>
        </w:numPr>
        <w:spacing w:after="60" w:line="276"/>
      </w:pPr>
      <w:r>
        <w:rPr>
          <w:rFonts w:ascii="Arial" w:cs="Arial" w:eastAsia="Arial" w:hAnsi="Arial"/>
          <w:color w:val="1F2328"/>
          <w:sz w:val="20"/>
          <w:szCs w:val="20"/>
        </w:rPr>
        <w:t xml:space="preserve">Meet the security obligations in customer contracts and applicable law.</w:t>
      </w:r>
    </w:p>
    <w:p>
      <w:pPr>
        <w:pStyle w:val="ListParagraph"/>
        <w:numPr>
          <w:ilvl w:val="0"/>
          <w:numId w:val="2"/>
        </w:numPr>
        <w:spacing w:after="60" w:line="276"/>
      </w:pPr>
      <w:r>
        <w:rPr>
          <w:rFonts w:ascii="Arial" w:cs="Arial" w:eastAsia="Arial" w:hAnsi="Arial"/>
          <w:color w:val="1F2328"/>
          <w:sz w:val="20"/>
          <w:szCs w:val="20"/>
        </w:rPr>
        <w:t xml:space="preserve">Find and fix weaknesses before they are exploited, and learn from incidents when they happen.</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Management commitment and oversight</w:t>
      </w:r>
    </w:p>
    <w:p>
      <w:pPr>
        <w:spacing w:after="120" w:before="0" w:line="276"/>
      </w:pPr>
      <w:r>
        <w:rPr>
          <w:rFonts w:ascii="Arial" w:cs="Arial" w:eastAsia="Arial" w:hAnsi="Arial"/>
          <w:color w:val="1F2328"/>
          <w:sz w:val="20"/>
          <w:szCs w:val="20"/>
        </w:rPr>
        <w:t xml:space="preserve">The security program, including its policies, controls and risk assessment results, is reviewed, updated and formally approved by the [Policy approver role] at least once a year.</w:t>
      </w:r>
    </w:p>
    <w:p>
      <w:pPr>
        <w:spacing w:after="120" w:before="0" w:line="276"/>
      </w:pPr>
      <w:r>
        <w:rPr>
          <w:rFonts w:ascii="Arial" w:cs="Arial" w:eastAsia="Arial" w:hAnsi="Arial"/>
          <w:color w:val="1F2328"/>
          <w:sz w:val="20"/>
          <w:szCs w:val="20"/>
        </w:rPr>
        <w:t xml:space="preserve">The [Management review body] meets at least once a year to oversee the security program, business strategy and risks. Meeting minutes are kept as evidence. The [Security owner role] reports to it at least twice a year on open risks, control deficiencies and their remediation, incidents, and the results of recurring reviews.</w:t>
      </w:r>
    </w:p>
    <w:p>
      <w:pPr>
        <w:pStyle w:val="Heading2"/>
        <w:keepNext/>
        <w:spacing w:after="120" w:before="280"/>
      </w:pPr>
      <w:r>
        <w:rPr>
          <w:rFonts w:ascii="Arial" w:cs="Arial" w:eastAsia="Arial" w:hAnsi="Arial"/>
          <w:b/>
          <w:bCs/>
          <w:color w:val="1F2328"/>
          <w:sz w:val="26"/>
          <w:szCs w:val="26"/>
        </w:rPr>
        <w:t xml:space="preserve">4. Security roles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Core responsibilities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Executive sponsor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Sets the tone for security, approves policies and risk acceptance, provides resources, and receives security reporting at least twice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and compliance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Runs the security program day to day: maintains policies, runs risk assessments and access reviews, leads incident response, manages the audit, and tracks remediation.</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Owns the security of the Company's product and the production cloud environment: secure development, change management, vulnerability remediation, logging, backups and recovery.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Owns corporate systems and devices: account provisioning and removal, device encryption and updates, endpoint protection, and administration of the software services the Company subscribes to.</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lead</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Owns the people side of security: background checks, onboarding and offboarding notices, policy acknowledgments, training records and disciplinary process.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Company policies, complete training, protect credentials and data, and report suspected incidents within 1 hour.</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At a company of this size one person often holds more than one role. That is acceptable, provided each role has a named holder and no one approves their own access or reviews their own work.</w:t>
      </w:r>
    </w:p>
    <w:p>
      <w:pPr>
        <w:pStyle w:val="Heading2"/>
        <w:keepNext/>
        <w:spacing w:after="120" w:before="280"/>
      </w:pPr>
      <w:r>
        <w:rPr>
          <w:rFonts w:ascii="Arial" w:cs="Arial" w:eastAsia="Arial" w:hAnsi="Arial"/>
          <w:b/>
          <w:bCs/>
          <w:color w:val="1F2328"/>
          <w:sz w:val="26"/>
          <w:szCs w:val="26"/>
        </w:rPr>
        <w:t xml:space="preserve">5. Responsibility matrix</w:t>
      </w:r>
    </w:p>
    <w:p>
      <w:pPr>
        <w:spacing w:after="120" w:before="0" w:line="276"/>
      </w:pPr>
      <w:r>
        <w:rPr>
          <w:rFonts w:ascii="Arial" w:cs="Arial" w:eastAsia="Arial" w:hAnsi="Arial"/>
          <w:color w:val="1F2328"/>
          <w:sz w:val="20"/>
          <w:szCs w:val="20"/>
        </w:rPr>
        <w:t xml:space="preserve">R = Responsible (does the work). A = Accountable (owns the outcome and signs off; exactly one per activity). C = Consulted (gives input before the work is done). I = Informed (told of the result).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1685"/>
        <w:gridCol w:w="936"/>
        <w:gridCol w:w="1123"/>
        <w:gridCol w:w="1123"/>
        <w:gridCol w:w="936"/>
        <w:gridCol w:w="936"/>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Activity</w:t>
            </w:r>
          </w:p>
        </w:tc>
        <w:tc>
          <w:tcPr>
            <w:tcW w:type="dxa" w:w="168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Frequency</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Executive</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Security owner</w:t>
            </w:r>
          </w:p>
        </w:tc>
        <w:tc>
          <w:tcPr>
            <w:tcW w:type="dxa" w:w="112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Engineering</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IT</w:t>
            </w:r>
          </w:p>
        </w:tc>
        <w:tc>
          <w:tcPr>
            <w:tcW w:type="dxa" w:w="93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People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User access reviews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Access Control Policy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Onboarding and offboarding of accounts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joiner and leaver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security reviews</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Vendor Management Policy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response</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incident</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approval</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Yearly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assessment</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Risk Assessment Policy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remediation</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Vulnerability Management Policy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Backup restore testing</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Business Continuity and Disaster Recovery Plan</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awareness training</w:t>
            </w:r>
          </w:p>
        </w:tc>
        <w:tc>
          <w:tcPr>
            <w:tcW w:type="dxa" w:w="168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 set in the Security Awareness Training Policy</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 R</w:t>
            </w:r>
          </w:p>
        </w:tc>
        <w:tc>
          <w:tcPr>
            <w:tcW w:type="dxa" w:w="112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w:t>
            </w:r>
          </w:p>
        </w:tc>
        <w:tc>
          <w:tcPr>
            <w:tcW w:type="dxa" w:w="93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Where the frequency names a topic policy, that policy sets it, so the two documents cannot disagree.</w:t>
      </w:r>
    </w:p>
    <w:p>
      <w:pPr>
        <w:pBdr>
          <w:left w:val="single" w:color="8C959F" w:sz="12" w:space="8"/>
        </w:pBdr>
        <w:spacing w:after="160" w:before="60" w:line="276"/>
        <w:ind w:left="200"/>
      </w:pPr>
      <w:r>
        <w:rPr>
          <w:rFonts w:ascii="Arial" w:cs="Arial" w:eastAsia="Arial" w:hAnsi="Arial"/>
          <w:color w:val="1F2328"/>
          <w:sz w:val="19"/>
          <w:szCs w:val="19"/>
        </w:rPr>
        <w:t xml:space="preserve">Where one person holds two roles in the same row, a different person performs the review or approval. For access reviews, no one reviews their own access; the [Policy approver role] reviews the access of the security owner.</w:t>
      </w:r>
    </w:p>
    <w:p>
      <w:pPr>
        <w:pStyle w:val="Heading2"/>
        <w:keepNext/>
        <w:spacing w:after="120" w:before="280"/>
      </w:pPr>
      <w:r>
        <w:rPr>
          <w:rFonts w:ascii="Arial" w:cs="Arial" w:eastAsia="Arial" w:hAnsi="Arial"/>
          <w:b/>
          <w:bCs/>
          <w:color w:val="1F2328"/>
          <w:sz w:val="26"/>
          <w:szCs w:val="26"/>
        </w:rPr>
        <w:t xml:space="preserve">6. Policy framework</w:t>
      </w:r>
    </w:p>
    <w:p>
      <w:pPr>
        <w:spacing w:after="120" w:before="0" w:line="276"/>
      </w:pPr>
      <w:r>
        <w:rPr>
          <w:rFonts w:ascii="Arial" w:cs="Arial" w:eastAsia="Arial" w:hAnsi="Arial"/>
          <w:color w:val="1F2328"/>
          <w:sz w:val="20"/>
          <w:szCs w:val="20"/>
        </w:rPr>
        <w:t xml:space="preserve">The policies below sit under this one. Each names its owner, is approved by the [Policy approver role] and is reviewed at least once a year.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82"/>
        <w:gridCol w:w="4306"/>
        <w:gridCol w:w="1872"/>
      </w:tblGrid>
      <w:tr>
        <w:trPr>
          <w:cantSplit/>
          <w:tblHeader/>
        </w:trPr>
        <w:tc>
          <w:tcPr>
            <w:tcW w:type="dxa" w:w="318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Policy</w:t>
            </w:r>
          </w:p>
        </w:tc>
        <w:tc>
          <w:tcPr>
            <w:tcW w:type="dxa" w:w="4306"/>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covers</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Criteria</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Access Control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Accounts, authentication, least privilege and access reviews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 CC6.2, CC6.3</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Acceptable Use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Use of company systems, accounts, devices and data</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CC1.1, CC1.5</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Change Management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code and infrastructure changes are reviewed, tested and released</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CC8.1</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Vendor Management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Assessing, contracting with and monitoring third parties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CC9.2</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Classification and Retention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Classification levels, handling, retention periods and disposal</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 CC6.5</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at rest and in transit, keys and certificates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CC6.1, CC6.7</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Business Continuity and Disaster Recovery Plan</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Recovery targets, backups, restore tests and failover</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CC7.5, CC9.1</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Risk Assessment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annual risk assessment, the risk register and treatment</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CC3.1, CC3.2, CC3.3, CC3.4</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Vulnerability Management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Scanning, fix deadlines, patching and network protections</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CC6.6, CC7.1</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Logging and Monitoring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is logged, how long it is kept, alerting and review</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CC7.1, CC7.2</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Awareness Training Policy</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Screening, training, acknowledgments and discipline</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CC1.4, CC1.5</w:t>
            </w:r>
          </w:p>
        </w:tc>
      </w:tr>
      <w:tr>
        <w:trPr>
          <w:cantSplit/>
        </w:trPr>
        <w:tc>
          <w:tcPr>
            <w:tcW w:type="dxa" w:w="318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Response Plan</w:t>
            </w:r>
          </w:p>
        </w:tc>
        <w:tc>
          <w:tcPr>
            <w:tcW w:type="dxa" w:w="4306"/>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Severity, roles, notification and post-incident review</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CC7.3, CC7.4, CC7.5</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Communication and acknowledgment</w:t>
      </w:r>
    </w:p>
    <w:p>
      <w:pPr>
        <w:pStyle w:val="ListParagraph"/>
        <w:numPr>
          <w:ilvl w:val="0"/>
          <w:numId w:val="2"/>
        </w:numPr>
        <w:spacing w:after="60" w:line="276"/>
      </w:pPr>
      <w:r>
        <w:rPr>
          <w:rFonts w:ascii="Arial" w:cs="Arial" w:eastAsia="Arial" w:hAnsi="Arial"/>
          <w:color w:val="1F2328"/>
          <w:sz w:val="20"/>
          <w:szCs w:val="20"/>
        </w:rPr>
        <w:t xml:space="preserve">Policies are published where all personnel can read them, in [Documentation system].</w:t>
      </w:r>
    </w:p>
    <w:p>
      <w:pPr>
        <w:pStyle w:val="ListParagraph"/>
        <w:numPr>
          <w:ilvl w:val="0"/>
          <w:numId w:val="2"/>
        </w:numPr>
        <w:spacing w:after="60" w:line="276"/>
      </w:pPr>
      <w:r>
        <w:rPr>
          <w:rFonts w:ascii="Arial" w:cs="Arial" w:eastAsia="Arial" w:hAnsi="Arial"/>
          <w:color w:val="1F2328"/>
          <w:sz w:val="20"/>
          <w:szCs w:val="20"/>
        </w:rPr>
        <w:t xml:space="preserve">Security roles and responsibilities are documented in job descriptions and explained during onboarding and annual training.</w:t>
      </w:r>
    </w:p>
    <w:p>
      <w:pPr>
        <w:pStyle w:val="ListParagraph"/>
        <w:numPr>
          <w:ilvl w:val="0"/>
          <w:numId w:val="2"/>
        </w:numPr>
        <w:spacing w:after="60" w:line="276"/>
      </w:pPr>
      <w:r>
        <w:rPr>
          <w:rFonts w:ascii="Arial" w:cs="Arial" w:eastAsia="Arial" w:hAnsi="Arial"/>
          <w:color w:val="1F2328"/>
          <w:sz w:val="20"/>
          <w:szCs w:val="20"/>
        </w:rPr>
        <w:t xml:space="preserve">New personnel acknowledge this policy and the policies that apply to them before or on their first day. Everyone acknowledges the current versions once a year.</w:t>
      </w:r>
    </w:p>
    <w:p>
      <w:pPr>
        <w:pStyle w:val="ListParagraph"/>
        <w:numPr>
          <w:ilvl w:val="0"/>
          <w:numId w:val="2"/>
        </w:numPr>
        <w:spacing w:after="60" w:line="276"/>
      </w:pPr>
      <w:r>
        <w:rPr>
          <w:rFonts w:ascii="Arial" w:cs="Arial" w:eastAsia="Arial" w:hAnsi="Arial"/>
          <w:color w:val="1F2328"/>
          <w:sz w:val="20"/>
          <w:szCs w:val="20"/>
        </w:rPr>
        <w:t xml:space="preserve">Control deficiencies are recorded with an owner and a due date and tracked until closed.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8.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Signed role acknowledgments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role holder accepts the role in section 4.</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acknowledgment log</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acknowledged which policy version, and when.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Management review minutes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oversight meetings in section 3, with the report presented.</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9.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10.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11.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[Management review body]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group that oversees security, for example the leadership team meeting or an advisory board.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storage location]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shared folder or system where evidence is kept.</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personnel]</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Who the policy covers, for example employees and contractors with access to company systems.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[In-scope systems]</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product, cloud accounts and tools inside the audit boundary.</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[IT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company devices and accounts, for example IT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[People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hiring and departures, for example head of people.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www.polaralabs.com/templates/information-security-policy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Information Security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Security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