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Incident Response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plan sets how [Company name] (the "Company") detects, responds to and learns from security incidents. It supports the SOC 2 common criteria CC7.3, CC7.4 and CC7.5 by establishing a formal process for managing security incidents.</w:t>
      </w:r>
    </w:p>
    <w:p>
      <w:pPr>
        <w:spacing w:after="120" w:before="0" w:line="276"/>
      </w:pPr>
      <w:r>
        <w:rPr>
          <w:rFonts w:ascii="Arial" w:cs="Arial" w:eastAsia="Arial" w:hAnsi="Arial"/>
          <w:color w:val="1F2328"/>
          <w:sz w:val="20"/>
          <w:szCs w:val="20"/>
        </w:rPr>
        <w:t xml:space="preserve">This plan applies to all security and availability incidents affecting [In-scope systems] or the data they hold.</w:t>
      </w:r>
    </w:p>
    <w:p>
      <w:pPr>
        <w:pStyle w:val="Heading2"/>
        <w:keepNext/>
        <w:spacing w:after="120" w:before="280"/>
      </w:pPr>
      <w:r>
        <w:rPr>
          <w:rFonts w:ascii="Arial" w:cs="Arial" w:eastAsia="Arial" w:hAnsi="Arial"/>
          <w:b/>
          <w:bCs/>
          <w:color w:val="1F2328"/>
          <w:sz w:val="26"/>
          <w:szCs w:val="26"/>
        </w:rPr>
        <w:t xml:space="preserve">2. Severity</w:t>
      </w:r>
    </w:p>
    <w:p>
      <w:pPr>
        <w:spacing w:after="120" w:before="0" w:line="276"/>
      </w:pPr>
      <w:r>
        <w:rPr>
          <w:rFonts w:ascii="Arial" w:cs="Arial" w:eastAsia="Arial" w:hAnsi="Arial"/>
          <w:color w:val="1F2328"/>
          <w:sz w:val="20"/>
          <w:szCs w:val="20"/>
        </w:rPr>
        <w:t xml:space="preserve">The incident lead sets the tier when the incident is declared, and raises it if the facts change. Each tier has a trigger anyone can apply and a clock.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3557"/>
        <w:gridCol w:w="2059"/>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Tier</w:t>
            </w:r>
          </w:p>
        </w:tc>
        <w:tc>
          <w:tcPr>
            <w:tcW w:type="dxa" w:w="355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Trigger</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Who is woken</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Clock</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SEV1</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reached by someone who should not have it, or production down for all</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lead, by phone, now</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Contained same day, notice clock starts at declaration</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SEV2</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control failed and could have exposed data, or production degraded for some</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lead, within the hour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Contained same day, reviewed within five days</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SEV3</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account, device or dependency affected, and no data was reached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 next business day</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Closed inside your stated remediation window</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 an incident</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Scanner finding with no sign of use, failed login, phishing mail nobody clicked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Nobody</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queue</w:t>
            </w:r>
          </w:p>
        </w:tc>
      </w:tr>
    </w:tbl>
    <w:p>
      <w:pPr>
        <w:spacing w:after="120" w:before="0" w:line="276"/>
      </w:pPr>
      <w:r>
        <w:rPr>
          <w:rFonts w:ascii="Arial" w:cs="Arial" w:eastAsia="Arial" w:hAnsi="Arial"/>
          <w:color w:val="1F2328"/>
          <w:sz w:val="20"/>
          <w:szCs w:val="20"/>
        </w:rPr>
        <w:t xml:space="preserve"/>
      </w:r>
    </w:p>
    <w:p>
      <w:pPr>
        <w:pBdr>
          <w:left w:val="single" w:color="8C959F" w:sz="12" w:space="8"/>
        </w:pBdr>
        <w:spacing w:after="160" w:before="60" w:line="276"/>
        <w:ind w:left="200"/>
      </w:pPr>
      <w:r>
        <w:rPr>
          <w:rFonts w:ascii="Arial" w:cs="Arial" w:eastAsia="Arial" w:hAnsi="Arial"/>
          <w:color w:val="1F2328"/>
          <w:sz w:val="19"/>
          <w:szCs w:val="19"/>
        </w:rPr>
        <w:t xml:space="preserve">Set clocks you will meet. Ticket timestamps are read against these numbers.</w:t>
      </w:r>
    </w:p>
    <w:p>
      <w:pPr>
        <w:pStyle w:val="Heading2"/>
        <w:keepNext/>
        <w:spacing w:after="120" w:before="280"/>
      </w:pPr>
      <w:r>
        <w:rPr>
          <w:rFonts w:ascii="Arial" w:cs="Arial" w:eastAsia="Arial" w:hAnsi="Arial"/>
          <w:b/>
          <w:bCs/>
          <w:color w:val="1F2328"/>
          <w:sz w:val="26"/>
          <w:szCs w:val="26"/>
        </w:rPr>
        <w:t xml:space="preserve">3.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3744"/>
        <w:gridCol w:w="1685"/>
        <w:gridCol w:w="1685"/>
      </w:tblGrid>
      <w:tr>
        <w:trPr>
          <w:cantSplit/>
          <w:tblHeader/>
        </w:trPr>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owns</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Backup</w:t>
            </w:r>
          </w:p>
        </w:tc>
      </w:tr>
      <w:tr>
        <w:trPr>
          <w:cantSplit/>
        </w:trPr>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lead</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Declares the tier, runs the response, calls the end</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w:t>
            </w:r>
          </w:p>
        </w:tc>
      </w:tr>
      <w:tr>
        <w:trPr>
          <w:cantSplit/>
        </w:trPr>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Technical response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Containment, evidence capture, the fix</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w:t>
            </w:r>
          </w:p>
        </w:tc>
      </w:tr>
      <w:tr>
        <w:trPr>
          <w:cantSplit/>
        </w:trPr>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communication</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Status page, customer notices, the contract clock</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w:t>
            </w:r>
          </w:p>
        </w:tc>
      </w:tr>
      <w:tr>
        <w:trPr>
          <w:cantSplit/>
        </w:trPr>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Record keeper</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Timeline, decisions, timestamps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At this size the incident lead and the technical responder are the same person below a SEV1, and every role names a backup. One person may hold several roles. No role is left without a name.</w:t>
      </w:r>
    </w:p>
    <w:p>
      <w:pPr>
        <w:pStyle w:val="Heading2"/>
        <w:keepNext/>
        <w:spacing w:after="120" w:before="280"/>
      </w:pPr>
      <w:r>
        <w:rPr>
          <w:rFonts w:ascii="Arial" w:cs="Arial" w:eastAsia="Arial" w:hAnsi="Arial"/>
          <w:b/>
          <w:bCs/>
          <w:color w:val="1F2328"/>
          <w:sz w:val="26"/>
          <w:szCs w:val="26"/>
        </w:rPr>
        <w:t xml:space="preserve">4. Response</w:t>
      </w:r>
    </w:p>
    <w:p>
      <w:pPr>
        <w:spacing w:after="120" w:before="0" w:line="276"/>
      </w:pPr>
      <w:r>
        <w:rPr>
          <w:rFonts w:ascii="Arial" w:cs="Arial" w:eastAsia="Arial" w:hAnsi="Arial"/>
          <w:color w:val="1F2328"/>
          <w:sz w:val="20"/>
          <w:szCs w:val="20"/>
        </w:rPr>
        <w:t xml:space="preserve">The incident response process follows these phases:</w:t>
      </w:r>
    </w:p>
    <w:p>
      <w:pPr>
        <w:pStyle w:val="ListParagraph"/>
        <w:numPr>
          <w:ilvl w:val="0"/>
          <w:numId w:val="2"/>
        </w:numPr>
        <w:spacing w:after="60" w:line="276"/>
      </w:pPr>
      <w:r>
        <w:rPr>
          <w:rFonts w:ascii="Arial" w:cs="Arial" w:eastAsia="Arial" w:hAnsi="Arial"/>
          <w:color w:val="1F2328"/>
          <w:sz w:val="20"/>
          <w:szCs w:val="20"/>
        </w:rPr>
        <w:t xml:space="preserve">Detection and reporting: Incidents are identified and logged in [Ticketing system].</w:t>
      </w:r>
    </w:p>
    <w:p>
      <w:pPr>
        <w:pStyle w:val="ListParagraph"/>
        <w:numPr>
          <w:ilvl w:val="0"/>
          <w:numId w:val="2"/>
        </w:numPr>
        <w:spacing w:after="60" w:line="276"/>
      </w:pPr>
      <w:r>
        <w:rPr>
          <w:rFonts w:ascii="Arial" w:cs="Arial" w:eastAsia="Arial" w:hAnsi="Arial"/>
          <w:color w:val="1F2328"/>
          <w:sz w:val="20"/>
          <w:szCs w:val="20"/>
        </w:rPr>
        <w:t xml:space="preserve">Triage and containment: The impact is assessed and immediate steps are taken to limit damage.</w:t>
      </w:r>
    </w:p>
    <w:p>
      <w:pPr>
        <w:pStyle w:val="ListParagraph"/>
        <w:numPr>
          <w:ilvl w:val="0"/>
          <w:numId w:val="2"/>
        </w:numPr>
        <w:spacing w:after="60" w:line="276"/>
      </w:pPr>
      <w:r>
        <w:rPr>
          <w:rFonts w:ascii="Arial" w:cs="Arial" w:eastAsia="Arial" w:hAnsi="Arial"/>
          <w:color w:val="1F2328"/>
          <w:sz w:val="20"/>
          <w:szCs w:val="20"/>
        </w:rPr>
        <w:t xml:space="preserve">Eradication and recovery: The root cause is removed and systems are restored.</w:t>
      </w:r>
    </w:p>
    <w:p>
      <w:pPr>
        <w:pStyle w:val="ListParagraph"/>
        <w:numPr>
          <w:ilvl w:val="0"/>
          <w:numId w:val="2"/>
        </w:numPr>
        <w:spacing w:after="60" w:line="276"/>
      </w:pPr>
      <w:r>
        <w:rPr>
          <w:rFonts w:ascii="Arial" w:cs="Arial" w:eastAsia="Arial" w:hAnsi="Arial"/>
          <w:color w:val="1F2328"/>
          <w:sz w:val="20"/>
          <w:szCs w:val="20"/>
        </w:rPr>
        <w:t xml:space="preserve">Post-incident review: A blameless review is held for every incident within 5 business days, following section 6.</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Notification</w:t>
      </w:r>
    </w:p>
    <w:p>
      <w:pPr>
        <w:spacing w:after="120" w:before="0" w:line="276"/>
      </w:pPr>
      <w:r>
        <w:rPr>
          <w:rFonts w:ascii="Arial" w:cs="Arial" w:eastAsia="Arial" w:hAnsi="Arial"/>
          <w:color w:val="1F2328"/>
          <w:sz w:val="20"/>
          <w:szCs w:val="20"/>
        </w:rPr>
        <w:t xml:space="preserve">Internal and external stakeholders are notified of incidents according to their severity and impact, with a formal process for customer breach notification.</w:t>
      </w:r>
    </w:p>
    <w:p>
      <w:pPr>
        <w:spacing w:after="120" w:before="0" w:line="276"/>
      </w:pPr>
      <w:r>
        <w:rPr>
          <w:rFonts w:ascii="Arial" w:cs="Arial" w:eastAsia="Arial" w:hAnsi="Arial"/>
          <w:color w:val="1F2328"/>
          <w:sz w:val="20"/>
          <w:szCs w:val="20"/>
        </w:rPr>
        <w:t xml:space="preserve">Affected customers, and any authority the law requires, are notified within [Notification deadline] of the incident being declared. That number is the shortest of the clocks below. The customer communication role sends every notice and records when it was sent.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1872"/>
        <w:gridCol w:w="3744"/>
      </w:tblGrid>
      <w:tr>
        <w:trPr>
          <w:cantSplit/>
          <w:tblHeader/>
        </w:trPr>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the clock comes from</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Deadline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Applies to</w:t>
            </w:r>
          </w:p>
        </w:tc>
      </w:tr>
      <w:tr>
        <w:trPr>
          <w:cantSplit/>
        </w:trPr>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contracts and data processing addendums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[Hours]</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[Customers with that clause]</w:t>
            </w:r>
          </w:p>
        </w:tc>
      </w:tr>
      <w:tr>
        <w:trPr>
          <w:cantSplit/>
        </w:trPr>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Breach notification law</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[Hours or days]</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[Personal data, by jurisdiction]</w:t>
            </w:r>
          </w:p>
        </w:tc>
      </w:tr>
      <w:tr>
        <w:trPr>
          <w:cantSplit/>
        </w:trPr>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Commitments the Company has published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[Hours]</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customers]</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Post-incident review</w:t>
      </w:r>
    </w:p>
    <w:p>
      <w:pPr>
        <w:spacing w:after="120" w:before="0" w:line="276"/>
      </w:pPr>
      <w:r>
        <w:rPr>
          <w:rFonts w:ascii="Arial" w:cs="Arial" w:eastAsia="Arial" w:hAnsi="Arial"/>
          <w:color w:val="1F2328"/>
          <w:sz w:val="20"/>
          <w:szCs w:val="20"/>
        </w:rPr>
        <w:t xml:space="preserve">Every incident gets a short written review, held within 5 business days. The record carries:</w:t>
      </w:r>
    </w:p>
    <w:p>
      <w:pPr>
        <w:pStyle w:val="ListParagraph"/>
        <w:numPr>
          <w:ilvl w:val="0"/>
          <w:numId w:val="3"/>
        </w:numPr>
        <w:spacing w:after="60" w:line="276"/>
      </w:pPr>
      <w:r>
        <w:rPr>
          <w:rFonts w:ascii="Arial" w:cs="Arial" w:eastAsia="Arial" w:hAnsi="Arial"/>
          <w:color w:val="1F2328"/>
          <w:sz w:val="20"/>
          <w:szCs w:val="20"/>
        </w:rPr>
        <w:t xml:space="preserve">Detection time, and how the incident was detected: alert, customer report or someone noticing.</w:t>
      </w:r>
    </w:p>
    <w:p>
      <w:pPr>
        <w:pStyle w:val="ListParagraph"/>
        <w:numPr>
          <w:ilvl w:val="0"/>
          <w:numId w:val="3"/>
        </w:numPr>
        <w:spacing w:after="60" w:line="276"/>
      </w:pPr>
      <w:r>
        <w:rPr>
          <w:rFonts w:ascii="Arial" w:cs="Arial" w:eastAsia="Arial" w:hAnsi="Arial"/>
          <w:color w:val="1F2328"/>
          <w:sz w:val="20"/>
          <w:szCs w:val="20"/>
        </w:rPr>
        <w:t xml:space="preserve">The tier, and whether it changed during the response.</w:t>
      </w:r>
    </w:p>
    <w:p>
      <w:pPr>
        <w:pStyle w:val="ListParagraph"/>
        <w:numPr>
          <w:ilvl w:val="0"/>
          <w:numId w:val="3"/>
        </w:numPr>
        <w:spacing w:after="60" w:line="276"/>
      </w:pPr>
      <w:r>
        <w:rPr>
          <w:rFonts w:ascii="Arial" w:cs="Arial" w:eastAsia="Arial" w:hAnsi="Arial"/>
          <w:color w:val="1F2328"/>
          <w:sz w:val="20"/>
          <w:szCs w:val="20"/>
        </w:rPr>
        <w:t xml:space="preserve">A timeline with timestamps: detected, declared, contained, resolved and communicated.</w:t>
      </w:r>
    </w:p>
    <w:p>
      <w:pPr>
        <w:pStyle w:val="ListParagraph"/>
        <w:numPr>
          <w:ilvl w:val="0"/>
          <w:numId w:val="3"/>
        </w:numPr>
        <w:spacing w:after="60" w:line="276"/>
      </w:pPr>
      <w:r>
        <w:rPr>
          <w:rFonts w:ascii="Arial" w:cs="Arial" w:eastAsia="Arial" w:hAnsi="Arial"/>
          <w:color w:val="1F2328"/>
          <w:sz w:val="20"/>
          <w:szCs w:val="20"/>
        </w:rPr>
        <w:t xml:space="preserve">Who was told, and when: customers, any authority that applies, and the internal record.</w:t>
      </w:r>
    </w:p>
    <w:p>
      <w:pPr>
        <w:pStyle w:val="ListParagraph"/>
        <w:numPr>
          <w:ilvl w:val="0"/>
          <w:numId w:val="3"/>
        </w:numPr>
        <w:spacing w:after="60" w:line="276"/>
      </w:pPr>
      <w:r>
        <w:rPr>
          <w:rFonts w:ascii="Arial" w:cs="Arial" w:eastAsia="Arial" w:hAnsi="Arial"/>
          <w:color w:val="1F2328"/>
          <w:sz w:val="20"/>
          <w:szCs w:val="20"/>
        </w:rPr>
        <w:t xml:space="preserve">The root cause, and at least one action with an owner and a due date.</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Annual exercise</w:t>
      </w:r>
    </w:p>
    <w:p>
      <w:pPr>
        <w:spacing w:after="120" w:before="0" w:line="276"/>
      </w:pPr>
      <w:r>
        <w:rPr>
          <w:rFonts w:ascii="Arial" w:cs="Arial" w:eastAsia="Arial" w:hAnsi="Arial"/>
          <w:color w:val="1F2328"/>
          <w:sz w:val="20"/>
          <w:szCs w:val="20"/>
        </w:rPr>
        <w:t xml:space="preserve">The plan is exercised at least once a year, inside the audit period, with the people it names. A tabletop exercise is enough.</w:t>
      </w:r>
    </w:p>
    <w:p>
      <w:pPr>
        <w:pStyle w:val="ListParagraph"/>
        <w:numPr>
          <w:ilvl w:val="0"/>
          <w:numId w:val="4"/>
        </w:numPr>
        <w:spacing w:after="60" w:line="276"/>
      </w:pPr>
      <w:r>
        <w:rPr>
          <w:rFonts w:ascii="Arial" w:cs="Arial" w:eastAsia="Arial" w:hAnsi="Arial"/>
          <w:color w:val="1F2328"/>
          <w:sz w:val="20"/>
          <w:szCs w:val="20"/>
        </w:rPr>
        <w:t xml:space="preserve">Pick a scenario the Company systems could produce, such as an API key committed to a public repository or a lost laptop.</w:t>
      </w:r>
    </w:p>
    <w:p>
      <w:pPr>
        <w:pStyle w:val="ListParagraph"/>
        <w:numPr>
          <w:ilvl w:val="0"/>
          <w:numId w:val="4"/>
        </w:numPr>
        <w:spacing w:after="60" w:line="276"/>
      </w:pPr>
      <w:r>
        <w:rPr>
          <w:rFonts w:ascii="Arial" w:cs="Arial" w:eastAsia="Arial" w:hAnsi="Arial"/>
          <w:color w:val="1F2328"/>
          <w:sz w:val="20"/>
          <w:szCs w:val="20"/>
        </w:rPr>
        <w:t xml:space="preserve">Run it live for an hour: declare a tier, draft the customer notice and find the contract clock.</w:t>
      </w:r>
    </w:p>
    <w:p>
      <w:pPr>
        <w:pStyle w:val="ListParagraph"/>
        <w:numPr>
          <w:ilvl w:val="0"/>
          <w:numId w:val="4"/>
        </w:numPr>
        <w:spacing w:after="60" w:line="276"/>
      </w:pPr>
      <w:r>
        <w:rPr>
          <w:rFonts w:ascii="Arial" w:cs="Arial" w:eastAsia="Arial" w:hAnsi="Arial"/>
          <w:color w:val="1F2328"/>
          <w:sz w:val="20"/>
          <w:szCs w:val="20"/>
        </w:rPr>
        <w:t xml:space="preserve">Write down what did not work.</w:t>
      </w:r>
    </w:p>
    <w:p>
      <w:pPr>
        <w:pStyle w:val="ListParagraph"/>
        <w:numPr>
          <w:ilvl w:val="0"/>
          <w:numId w:val="4"/>
        </w:numPr>
        <w:spacing w:after="60" w:line="276"/>
      </w:pPr>
      <w:r>
        <w:rPr>
          <w:rFonts w:ascii="Arial" w:cs="Arial" w:eastAsia="Arial" w:hAnsi="Arial"/>
          <w:color w:val="1F2328"/>
          <w:sz w:val="20"/>
          <w:szCs w:val="20"/>
        </w:rPr>
        <w:t xml:space="preserve">Keep the record: date, attendees, scenario, findings, and actions with owners.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log</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Record of all security incidents.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Post-incident reviews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record in section 6 for each incident.</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Exercise record</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annual tabletop or test, with attendees and actions.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notices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notice sent, with the time it was sent.</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10.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11.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[Ticketing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changes and incidents are tracked, for example Jira or Linear.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[Notification deadline]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shortest customer or legal notice period you are bound by, in hours.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www.polaralabs.com/templates/incident-response-plan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Incident Response Plan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Response Plan,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