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Encryption Policy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[Version]</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 and scope</w:t>
      </w:r>
    </w:p>
    <w:p>
      <w:pPr>
        <w:spacing w:after="120" w:before="0" w:line="276"/>
      </w:pPr>
      <w:r>
        <w:rPr>
          <w:rFonts w:ascii="Arial" w:cs="Arial" w:eastAsia="Arial" w:hAnsi="Arial"/>
          <w:color w:val="1F2328"/>
          <w:sz w:val="20"/>
          <w:szCs w:val="20"/>
        </w:rPr>
        <w:t xml:space="preserve">This policy supports the SOC 2 common criteria CC6.1 and CC6.7 by defining encryption and key management requirements for data at rest and in transit.</w:t>
      </w:r>
    </w:p>
    <w:p>
      <w:pPr>
        <w:spacing w:after="120" w:before="0" w:line="276"/>
      </w:pPr>
      <w:r>
        <w:rPr>
          <w:rFonts w:ascii="Arial" w:cs="Arial" w:eastAsia="Arial" w:hAnsi="Arial"/>
          <w:color w:val="1F2328"/>
          <w:sz w:val="20"/>
          <w:szCs w:val="20"/>
        </w:rPr>
        <w:t xml:space="preserve">This policy applies to all production systems, backups, and data transmissions that store, process, or transmit company or customer data.</w:t>
      </w:r>
    </w:p>
    <w:p>
      <w:pPr>
        <w:pStyle w:val="Heading2"/>
        <w:keepNext/>
        <w:spacing w:after="120" w:before="280"/>
      </w:pPr>
      <w:r>
        <w:rPr>
          <w:rFonts w:ascii="Arial" w:cs="Arial" w:eastAsia="Arial" w:hAnsi="Arial"/>
          <w:b/>
          <w:bCs/>
          <w:color w:val="1F2328"/>
          <w:sz w:val="26"/>
          <w:szCs w:val="26"/>
        </w:rPr>
        <w:t xml:space="preserve">2. Encryption standards</w:t>
      </w:r>
    </w:p>
    <w:p>
      <w:pPr>
        <w:pStyle w:val="ListParagraph"/>
        <w:numPr>
          <w:ilvl w:val="0"/>
          <w:numId w:val="2"/>
        </w:numPr>
        <w:spacing w:after="60" w:line="276"/>
      </w:pPr>
      <w:r>
        <w:rPr>
          <w:rFonts w:ascii="Arial" w:cs="Arial" w:eastAsia="Arial" w:hAnsi="Arial"/>
          <w:color w:val="1F2328"/>
          <w:sz w:val="20"/>
          <w:szCs w:val="20"/>
        </w:rPr>
        <w:t xml:space="preserve">Data at rest: Databases, object storage, backups and laptops that hold Company or customer data are encrypted with [Encryption standard at rest].</w:t>
      </w:r>
    </w:p>
    <w:p>
      <w:pPr>
        <w:pStyle w:val="ListParagraph"/>
        <w:numPr>
          <w:ilvl w:val="0"/>
          <w:numId w:val="2"/>
        </w:numPr>
        <w:spacing w:after="60" w:line="276"/>
      </w:pPr>
      <w:r>
        <w:rPr>
          <w:rFonts w:ascii="Arial" w:cs="Arial" w:eastAsia="Arial" w:hAnsi="Arial"/>
          <w:color w:val="1F2328"/>
          <w:sz w:val="20"/>
          <w:szCs w:val="20"/>
        </w:rPr>
        <w:t xml:space="preserve">Data in transit: Data crossing a public network is encrypted with [Encryption standard in transit]. Transport Layer Security (TLS) 1.2 is the minimum, and older protocols are disabled.</w:t>
      </w:r>
    </w:p>
    <w:p>
      <w:pPr>
        <w:pStyle w:val="ListParagraph"/>
        <w:numPr>
          <w:ilvl w:val="0"/>
          <w:numId w:val="2"/>
        </w:numPr>
        <w:spacing w:after="60" w:line="276"/>
      </w:pPr>
      <w:r>
        <w:rPr>
          <w:rFonts w:ascii="Arial" w:cs="Arial" w:eastAsia="Arial" w:hAnsi="Arial"/>
          <w:color w:val="1F2328"/>
          <w:sz w:val="20"/>
          <w:szCs w:val="20"/>
        </w:rPr>
        <w:t xml:space="preserve">Algorithms: Only current, widely reviewed algorithms from the cloud provider and standard libraries are used. Custom cryptography is not permitted.</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3. Key management</w:t>
      </w:r>
    </w:p>
    <w:p>
      <w:pPr>
        <w:pStyle w:val="ListParagraph"/>
        <w:numPr>
          <w:ilvl w:val="0"/>
          <w:numId w:val="2"/>
        </w:numPr>
        <w:spacing w:after="60" w:line="276"/>
      </w:pPr>
      <w:r>
        <w:rPr>
          <w:rFonts w:ascii="Arial" w:cs="Arial" w:eastAsia="Arial" w:hAnsi="Arial"/>
          <w:color w:val="1F2328"/>
          <w:sz w:val="20"/>
          <w:szCs w:val="20"/>
        </w:rPr>
        <w:t xml:space="preserve">Where keys live: Encryption keys and secrets are held in [Secrets manager] and never in source code, chat or tickets.</w:t>
      </w:r>
    </w:p>
    <w:p>
      <w:pPr>
        <w:pStyle w:val="ListParagraph"/>
        <w:numPr>
          <w:ilvl w:val="0"/>
          <w:numId w:val="2"/>
        </w:numPr>
        <w:spacing w:after="60" w:line="276"/>
      </w:pPr>
      <w:r>
        <w:rPr>
          <w:rFonts w:ascii="Arial" w:cs="Arial" w:eastAsia="Arial" w:hAnsi="Arial"/>
          <w:color w:val="1F2328"/>
          <w:sz w:val="20"/>
          <w:szCs w:val="20"/>
        </w:rPr>
        <w:t xml:space="preserve">Rotation: Keys are rotated [Key rotation frequency], and at once when compromise is suspected or someone who could read them leaves.</w:t>
      </w:r>
    </w:p>
    <w:p>
      <w:pPr>
        <w:pStyle w:val="ListParagraph"/>
        <w:numPr>
          <w:ilvl w:val="0"/>
          <w:numId w:val="2"/>
        </w:numPr>
        <w:spacing w:after="60" w:line="276"/>
      </w:pPr>
      <w:r>
        <w:rPr>
          <w:rFonts w:ascii="Arial" w:cs="Arial" w:eastAsia="Arial" w:hAnsi="Arial"/>
          <w:color w:val="1F2328"/>
          <w:sz w:val="20"/>
          <w:szCs w:val="20"/>
        </w:rPr>
        <w:t xml:space="preserve">Access: Only named administrators can manage keys, and every use of a key is logged.</w:t>
      </w:r>
    </w:p>
    <w:p>
      <w:pPr>
        <w:pStyle w:val="ListParagraph"/>
        <w:numPr>
          <w:ilvl w:val="0"/>
          <w:numId w:val="2"/>
        </w:numPr>
        <w:spacing w:after="60" w:line="276"/>
      </w:pPr>
      <w:r>
        <w:rPr>
          <w:rFonts w:ascii="Arial" w:cs="Arial" w:eastAsia="Arial" w:hAnsi="Arial"/>
          <w:color w:val="1F2328"/>
          <w:sz w:val="20"/>
          <w:szCs w:val="20"/>
        </w:rPr>
        <w:t xml:space="preserve">Retirement: A retired key is disabled before it is deleted, so data it protects can still be read during the change.</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4. Certificates</w:t>
      </w:r>
    </w:p>
    <w:p>
      <w:pPr>
        <w:spacing w:after="120" w:before="0" w:line="276"/>
      </w:pPr>
      <w:r>
        <w:rPr>
          <w:rFonts w:ascii="Arial" w:cs="Arial" w:eastAsia="Arial" w:hAnsi="Arial"/>
          <w:color w:val="1F2328"/>
          <w:sz w:val="20"/>
          <w:szCs w:val="20"/>
        </w:rPr>
        <w:t xml:space="preserve">Public certificates come from a trusted certificate authority, renew automatically where the provider supports it, and are tracked with their expiry dates so none lapses unnoticed.</w:t>
      </w:r>
    </w:p>
    <w:p>
      <w:pPr>
        <w:pStyle w:val="Heading2"/>
        <w:keepNext/>
        <w:spacing w:after="120" w:before="280"/>
      </w:pPr>
      <w:r>
        <w:rPr>
          <w:rFonts w:ascii="Arial" w:cs="Arial" w:eastAsia="Arial" w:hAnsi="Arial"/>
          <w:b/>
          <w:bCs/>
          <w:color w:val="1F2328"/>
          <w:sz w:val="26"/>
          <w:szCs w:val="26"/>
        </w:rPr>
        <w:t xml:space="preserve">5.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59"/>
        <w:gridCol w:w="2434"/>
        <w:gridCol w:w="4867"/>
      </w:tblGrid>
      <w:tr>
        <w:trPr>
          <w:cantSplit/>
          <w:tblHeader/>
        </w:trPr>
        <w:tc>
          <w:tcPr>
            <w:tcW w:type="dxa" w:w="2059"/>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Role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Held by</w:t>
            </w:r>
          </w:p>
        </w:tc>
        <w:tc>
          <w:tcPr>
            <w:tcW w:type="dxa" w:w="4867"/>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Responsibility</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Approves this policy, each new version, and any risk the Company accepts instead of meeting it.</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owner</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Maintains this policy, makes sure the controls in it operate, keeps the evidence, and reviews it at least once a year.</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administrators</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Configure encryption and key rotation, and approve access to keys.</w:t>
            </w:r>
          </w:p>
        </w:tc>
      </w:tr>
      <w:tr>
        <w:trPr>
          <w:cantSplit/>
        </w:trPr>
        <w:tc>
          <w:tcPr>
            <w:tcW w:type="dxa" w:w="2059"/>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personnel</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Everyone in scope</w:t>
            </w:r>
          </w:p>
        </w:tc>
        <w:tc>
          <w:tcPr>
            <w:tcW w:type="dxa" w:w="4867"/>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Follow this policy and report a suspected breach of it to the [Security owner role].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6. Evidence and records</w:t>
      </w:r>
    </w:p>
    <w:p>
      <w:pPr>
        <w:spacing w:after="120" w:before="0" w:line="276"/>
      </w:pPr>
      <w:r>
        <w:rPr>
          <w:rFonts w:ascii="Arial" w:cs="Arial" w:eastAsia="Arial" w:hAnsi="Arial"/>
          <w:color w:val="1F2328"/>
          <w:sz w:val="20"/>
          <w:szCs w:val="20"/>
        </w:rPr>
        <w:t xml:space="preserve">The records below show that this policy operates. Each is dated, kept for at least [Evidence retention period], and stored where an auditor can be given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Record</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shows</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Where it is kept</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Approved policy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This document, signed by the approver, with its version history.</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configuration</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of at-rest and in-transit encryption settings.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management settings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service or secrets manager settings, including rotation.</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Certificate inventory</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Each certificate, where it is used, and when it expires.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Exceptions and enforcement</w:t>
      </w:r>
    </w:p>
    <w:p>
      <w:pPr>
        <w:spacing w:after="120" w:before="0" w:line="276"/>
      </w:pPr>
      <w:r>
        <w:rPr>
          <w:rFonts w:ascii="Arial" w:cs="Arial" w:eastAsia="Arial" w:hAnsi="Arial"/>
          <w:color w:val="1F2328"/>
          <w:sz w:val="20"/>
          <w:szCs w:val="20"/>
        </w:rPr>
        <w:t xml:space="preserve">A deviation from this policy needs a written exception approved by the [Security owner role] before it begins. Each exception records the rule not met, the business reason, the compensating control and an expiry date no more than 12 months away. Exceptions are reviewed at each annual review.</w:t>
      </w:r>
    </w:p>
    <w:p>
      <w:pPr>
        <w:spacing w:after="120" w:before="0" w:line="276"/>
      </w:pPr>
      <w:r>
        <w:rPr>
          <w:rFonts w:ascii="Arial" w:cs="Arial" w:eastAsia="Arial" w:hAnsi="Arial"/>
          <w:color w:val="1F2328"/>
          <w:sz w:val="20"/>
          <w:szCs w:val="20"/>
        </w:rPr>
        <w:t xml:space="preserve">A breach of this policy is handled under the Company disciplinary process and may lead to action up to and including termination of employment or contract. A breach that exposes customer data is also handled as a security incident.</w:t>
      </w:r>
    </w:p>
    <w:p>
      <w:pPr>
        <w:pStyle w:val="Heading2"/>
        <w:keepNext/>
        <w:spacing w:after="120" w:before="280"/>
      </w:pPr>
      <w:r>
        <w:rPr>
          <w:rFonts w:ascii="Arial" w:cs="Arial" w:eastAsia="Arial" w:hAnsi="Arial"/>
          <w:b/>
          <w:bCs/>
          <w:color w:val="1F2328"/>
          <w:sz w:val="26"/>
          <w:szCs w:val="26"/>
        </w:rPr>
        <w:t xml:space="preserve">8. Review and approval</w:t>
      </w:r>
    </w:p>
    <w:p>
      <w:pPr>
        <w:spacing w:after="120" w:before="0" w:line="276"/>
      </w:pPr>
      <w:r>
        <w:rPr>
          <w:rFonts w:ascii="Arial" w:cs="Arial" w:eastAsia="Arial" w:hAnsi="Arial"/>
          <w:color w:val="1F2328"/>
          <w:sz w:val="20"/>
          <w:szCs w:val="20"/>
        </w:rPr>
        <w:t xml:space="preserve">The [Security owner role] reviews this policy at least once a year and after any significant change to the business, the systems in scope or the risks they face. The [Policy approver role] approves each version. Personnel are told of material changes and acknowledge the current version.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10"/>
        <w:gridCol w:w="1872"/>
        <w:gridCol w:w="3744"/>
        <w:gridCol w:w="2434"/>
      </w:tblGrid>
      <w:tr>
        <w:trPr>
          <w:cantSplit/>
          <w:tblHeader/>
        </w:trPr>
        <w:tc>
          <w:tcPr>
            <w:tcW w:type="dxa" w:w="1310"/>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Date</w:t>
            </w:r>
          </w:p>
        </w:tc>
        <w:tc>
          <w:tcPr>
            <w:tcW w:type="dxa" w:w="374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Summary of change</w:t>
            </w:r>
          </w:p>
        </w:tc>
        <w:tc>
          <w:tcPr>
            <w:tcW w:type="dxa" w:w="2434"/>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Approved by</w:t>
            </w:r>
          </w:p>
        </w:tc>
      </w:tr>
      <w:tr>
        <w:trPr>
          <w:cantSpli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[Version]</w:t>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[Effective date]</w:t>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First version.</w:t>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pPr>
            <w:r>
              <w:rPr>
                <w:rFonts w:ascii="Arial" w:cs="Arial" w:eastAsia="Arial" w:hAnsi="Arial"/>
                <w:b w:val="false"/>
                <w:bCs w:val="false"/>
                <w:color w:val="1F2328"/>
                <w:sz w:val="18"/>
                <w:szCs w:val="18"/>
              </w:rPr>
              <w:t xml:space="preserve">[Policy approver role]</w:t>
            </w:r>
          </w:p>
        </w:tc>
      </w:tr>
      <w:tr>
        <w:trPr>
          <w:cantSplit/>
          <w:trHeight w:val="504" w:hRule="atLeast"/>
        </w:trPr>
        <w:tc>
          <w:tcPr>
            <w:tcW w:type="dxa" w:w="1310"/>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374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c>
          <w:tcPr>
            <w:tcW w:type="dxa" w:w="2434"/>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
            </w:r>
          </w:p>
        </w:tc>
      </w:tr>
    </w:tbl>
    <w:p>
      <w:pPr>
        <w:spacing w:after="120" w:before="0" w:line="276"/>
      </w:pPr>
      <w:r>
        <w:rPr>
          <w:rFonts w:ascii="Arial" w:cs="Arial" w:eastAsia="Arial" w:hAnsi="Arial"/>
          <w:color w:val="1F2328"/>
          <w:sz w:val="20"/>
          <w:szCs w:val="20"/>
        </w:rPr>
        <w:t xml:space="preserve"/>
      </w:r>
    </w:p>
    <w:p>
      <w:pPr>
        <w:keepNext/>
        <w:keepLines/>
        <w:spacing w:after="60" w:before="240" w:line="276"/>
      </w:pPr>
      <w:r>
        <w:rPr>
          <w:rFonts w:ascii="Arial" w:cs="Arial" w:eastAsia="Arial" w:hAnsi="Arial"/>
          <w:b/>
          <w:bCs/>
          <w:color w:val="1F2328"/>
          <w:sz w:val="20"/>
          <w:szCs w:val="20"/>
        </w:rPr>
        <w:t xml:space="preserve">Policy approver</w:t>
      </w:r>
    </w:p>
    <w:p>
      <w:pPr>
        <w:keepNext/>
        <w:keepLines/>
        <w:pBdr>
          <w:bottom w:val="single" w:color="D0D7DE" w:sz="4" w:space="2"/>
        </w:pBdr>
        <w:spacing w:after="60" w:before="200"/>
      </w:pPr>
      <w:r>
        <w:rPr>
          <w:rFonts w:ascii="Arial" w:cs="Arial" w:eastAsia="Arial" w:hAnsi="Arial"/>
          <w:color w:val="57606A"/>
          <w:sz w:val="19"/>
          <w:szCs w:val="19"/>
        </w:rPr>
        <w:t xml:space="preserve">Name: </w:t>
      </w:r>
    </w:p>
    <w:p>
      <w:pPr>
        <w:keepNext/>
        <w:keepLines/>
        <w:pBdr>
          <w:bottom w:val="single" w:color="D0D7DE" w:sz="4" w:space="2"/>
        </w:pBdr>
        <w:spacing w:after="60" w:before="200"/>
      </w:pPr>
      <w:r>
        <w:rPr>
          <w:rFonts w:ascii="Arial" w:cs="Arial" w:eastAsia="Arial" w:hAnsi="Arial"/>
          <w:color w:val="57606A"/>
          <w:sz w:val="19"/>
          <w:szCs w:val="19"/>
        </w:rPr>
        <w:t xml:space="preserve">Signature: </w:t>
      </w:r>
    </w:p>
    <w:p>
      <w:pPr>
        <w:keepNext w:val="false"/>
        <w:keepLines/>
        <w:pBdr>
          <w:bottom w:val="single" w:color="D0D7DE" w:sz="4" w:space="2"/>
        </w:pBdr>
        <w:spacing w:after="60" w:before="200"/>
      </w:pPr>
      <w:r>
        <w:rPr>
          <w:rFonts w:ascii="Arial" w:cs="Arial" w:eastAsia="Arial" w:hAnsi="Arial"/>
          <w:color w:val="57606A"/>
          <w:sz w:val="19"/>
          <w:szCs w:val="19"/>
        </w:rPr>
        <w:t xml:space="preserve">Date: </w:t>
      </w:r>
    </w:p>
    <w:p>
      <w:pPr>
        <w:pStyle w:val="Heading2"/>
        <w:keepNext/>
        <w:spacing w:after="120" w:before="280"/>
      </w:pPr>
      <w:r>
        <w:rPr>
          <w:rFonts w:ascii="Arial" w:cs="Arial" w:eastAsia="Arial" w:hAnsi="Arial"/>
          <w:b/>
          <w:bCs/>
          <w:color w:val="1F2328"/>
          <w:sz w:val="26"/>
          <w:szCs w:val="26"/>
        </w:rPr>
        <w:t xml:space="preserve">9. Fields to complete</w:t>
      </w:r>
    </w:p>
    <w:p>
      <w:pPr>
        <w:spacing w:after="120" w:before="0" w:line="276"/>
      </w:pPr>
      <w:r>
        <w:rPr>
          <w:rFonts w:ascii="Arial" w:cs="Arial" w:eastAsia="Arial" w:hAnsi="Arial"/>
          <w:color w:val="1F2328"/>
          <w:sz w:val="20"/>
          <w:szCs w:val="20"/>
        </w:rPr>
        <w:t xml:space="preserve">Replace every bracketed field in this document with your own detail, then delete this section.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95"/>
        <w:gridCol w:w="6365"/>
      </w:tblGrid>
      <w:tr>
        <w:trPr>
          <w:cantSplit/>
          <w:tblHeader/>
        </w:trPr>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Field</w:t>
            </w:r>
          </w:p>
        </w:tc>
        <w:tc>
          <w:tcPr>
            <w:tcW w:type="dxa" w:w="636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to enter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[Company name]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Your legal company name.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[Effective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the approver signs this version.</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[Version]</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Start at 1.0 and increase it each time the document changes.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[Security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runs the security program day to day, for example Chief Technology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[Policy approver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officer who approves policies and accepted risks, for example Chief Executive Officer.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[Documentation system]</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policies and procedures are published, for example the company wiki.</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[Cloud provider]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production runs, for example AWS, Google Cloud or Azure.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[Secrets manager]</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Where keys and secrets are stored, for example a cloud key management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standard at rest]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AES-256, the Advanced Encryption Standard with 256-bit keys, through the cloud provider key service.</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[Encryption standard in transit]</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For example TLS 1.2 or higher.</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[Key rotation frequency]</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often keys are replaced, for example every 12 months.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[Evidence retention period]</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How long audit evidence is kept, for example three years.</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[Engineering owner role]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role that owns production systems, for example engineering lead.</w:t>
            </w:r>
          </w:p>
        </w:tc>
      </w:tr>
      <w:tr>
        <w:trPr>
          <w:cantSplit/>
        </w:trPr>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[Next review date]</w:t>
            </w:r>
          </w:p>
        </w:tc>
        <w:tc>
          <w:tcPr>
            <w:tcW w:type="dxa" w:w="636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date this version must be reviewed by, at most 12 months after the effective date.</w:t>
            </w:r>
          </w:p>
        </w:tc>
      </w:tr>
    </w:tbl>
    <w:p>
      <w:pPr>
        <w:spacing w:after="12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www.polaralabs.com/templates/encryption-policy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Encryption Policy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Encryption Policy,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